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Arial" w:hAnsi="Arial" w:eastAsia="Arial"/>
          <w:b/>
          <w:i w:val="0"/>
          <w:color w:val="0A2F5C"/>
          <w:sz w:val="36"/>
        </w:rPr>
        <w:t>RESUMEN DE NORMAS LEGALES</w:t>
      </w:r>
    </w:p>
    <w:p>
      <w:pPr>
        <w:spacing w:before="0" w:after="40" w:line="276" w:lineRule="auto"/>
        <w:jc w:val="center"/>
      </w:pPr>
      <w:r>
        <w:rPr>
          <w:rFonts w:ascii="Arial" w:hAnsi="Arial" w:eastAsia="Arial"/>
          <w:b w:val="0"/>
          <w:i w:val="0"/>
          <w:color w:val="5B6880"/>
          <w:sz w:val="21"/>
        </w:rPr>
        <w:t>Diario Oficial El Peruano · Miércoles 9 de septiembre de 2026</w:t>
      </w:r>
    </w:p>
    <w:p>
      <w:pPr>
        <w:spacing w:before="0" w:after="200" w:line="276" w:lineRule="auto"/>
        <w:pBdr>
          <w:bottom w:val="single" w:sz="18" w:space="1" w:color="0A2F5C"/>
        </w:pBdr>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2353"/>
        <w:gridCol w:w="2353"/>
        <w:gridCol w:w="2353"/>
        <w:gridCol w:w="2353"/>
      </w:tblGrid>
      <w:tr>
        <w:tc>
          <w:tcPr>
            <w:tcW w:type="dxa" w:w="2041"/>
            <w:shd w:val="clear" w:color="auto" w:fill="F2F5FA"/>
          </w:tcPr>
          <w:p>
            <w:pPr>
              <w:spacing w:before="20" w:after="20" w:line="264" w:lineRule="auto"/>
            </w:pPr>
            <w:r>
              <w:rPr>
                <w:rFonts w:ascii="Arial" w:hAnsi="Arial" w:eastAsia="Arial"/>
                <w:b/>
                <w:i w:val="0"/>
                <w:color w:val="0A2F5C"/>
                <w:sz w:val="17"/>
              </w:rPr>
              <w:t>Periodo revisado</w:t>
            </w:r>
          </w:p>
        </w:tc>
        <w:tc>
          <w:tcPr>
            <w:tcW w:type="dxa" w:w="2665"/>
          </w:tcPr>
          <w:p>
            <w:pPr>
              <w:spacing w:before="20" w:after="20" w:line="264" w:lineRule="auto"/>
            </w:pPr>
            <w:r>
              <w:rPr>
                <w:rFonts w:ascii="Arial" w:hAnsi="Arial" w:eastAsia="Arial"/>
                <w:b w:val="0"/>
                <w:i w:val="0"/>
                <w:sz w:val="19"/>
              </w:rPr>
              <w:t>09/09/2026</w:t>
            </w:r>
          </w:p>
        </w:tc>
        <w:tc>
          <w:tcPr>
            <w:tcW w:type="dxa" w:w="2041"/>
            <w:shd w:val="clear" w:color="auto" w:fill="F2F5FA"/>
          </w:tcPr>
          <w:p>
            <w:pPr>
              <w:spacing w:before="20" w:after="20" w:line="264" w:lineRule="auto"/>
            </w:pPr>
            <w:r>
              <w:rPr>
                <w:rFonts w:ascii="Arial" w:hAnsi="Arial" w:eastAsia="Arial"/>
                <w:b/>
                <w:i w:val="0"/>
                <w:color w:val="0A2F5C"/>
                <w:sz w:val="17"/>
              </w:rPr>
              <w:t>Fecha de elaboración</w:t>
            </w:r>
          </w:p>
        </w:tc>
        <w:tc>
          <w:tcPr>
            <w:tcW w:type="dxa" w:w="2665"/>
          </w:tcPr>
          <w:p>
            <w:pPr>
              <w:spacing w:before="20" w:after="20" w:line="264" w:lineRule="auto"/>
            </w:pPr>
            <w:r>
              <w:rPr>
                <w:rFonts w:ascii="Arial" w:hAnsi="Arial" w:eastAsia="Arial"/>
                <w:b w:val="0"/>
                <w:i w:val="0"/>
                <w:sz w:val="19"/>
              </w:rPr>
              <w:t>27/10/2026 10:59</w:t>
            </w:r>
          </w:p>
        </w:tc>
      </w:tr>
      <w:tr>
        <w:tc>
          <w:tcPr>
            <w:tcW w:type="dxa" w:w="2041"/>
            <w:shd w:val="clear" w:color="auto" w:fill="F2F5FA"/>
          </w:tcPr>
          <w:p>
            <w:pPr>
              <w:spacing w:before="20" w:after="20" w:line="264" w:lineRule="auto"/>
            </w:pPr>
            <w:r>
              <w:rPr>
                <w:rFonts w:ascii="Arial" w:hAnsi="Arial" w:eastAsia="Arial"/>
                <w:b/>
                <w:i w:val="0"/>
                <w:color w:val="0A2F5C"/>
                <w:sz w:val="17"/>
              </w:rPr>
              <w:t>Normas publicadas</w:t>
            </w:r>
          </w:p>
        </w:tc>
        <w:tc>
          <w:tcPr>
            <w:tcW w:type="dxa" w:w="2665"/>
          </w:tcPr>
          <w:p>
            <w:pPr>
              <w:spacing w:before="20" w:after="20" w:line="264" w:lineRule="auto"/>
            </w:pPr>
            <w:r>
              <w:rPr>
                <w:rFonts w:ascii="Arial" w:hAnsi="Arial" w:eastAsia="Arial"/>
                <w:b w:val="0"/>
                <w:i w:val="0"/>
                <w:sz w:val="19"/>
              </w:rPr>
              <w:t>90</w:t>
            </w:r>
          </w:p>
        </w:tc>
        <w:tc>
          <w:tcPr>
            <w:tcW w:type="dxa" w:w="2041"/>
            <w:shd w:val="clear" w:color="auto" w:fill="F2F5FA"/>
          </w:tcPr>
          <w:p>
            <w:pPr>
              <w:spacing w:before="20" w:after="20" w:line="264" w:lineRule="auto"/>
            </w:pPr>
            <w:r>
              <w:rPr>
                <w:rFonts w:ascii="Arial" w:hAnsi="Arial" w:eastAsia="Arial"/>
                <w:b/>
                <w:i w:val="0"/>
                <w:color w:val="0A2F5C"/>
                <w:sz w:val="17"/>
              </w:rPr>
              <w:t>Normas de interés</w:t>
            </w:r>
          </w:p>
        </w:tc>
        <w:tc>
          <w:tcPr>
            <w:tcW w:type="dxa" w:w="2665"/>
          </w:tcPr>
          <w:p>
            <w:pPr>
              <w:spacing w:before="20" w:after="20" w:line="264" w:lineRule="auto"/>
            </w:pPr>
            <w:r>
              <w:rPr>
                <w:rFonts w:ascii="Arial" w:hAnsi="Arial" w:eastAsia="Arial"/>
                <w:b/>
                <w:i w:val="0"/>
                <w:color w:val="0A2F5C"/>
                <w:sz w:val="19"/>
              </w:rPr>
              <w:t>7</w:t>
            </w:r>
          </w:p>
        </w:tc>
      </w:tr>
    </w:tbl>
    <w:p>
      <w:pPr>
        <w:spacing w:before="280" w:after="120" w:line="276" w:lineRule="auto"/>
        <w:keepNext/>
        <w:pBdr>
          <w:bottom w:val="single" w:sz="6" w:space="2" w:color="C9D2DF"/>
        </w:pBdr>
      </w:pPr>
      <w:r>
        <w:rPr>
          <w:rFonts w:ascii="Arial" w:hAnsi="Arial" w:eastAsia="Arial"/>
          <w:b/>
          <w:i w:val="0"/>
          <w:color w:val="0A2F5C"/>
          <w:sz w:val="22"/>
        </w:rPr>
        <w:t>1. RESUMEN EJECUTIVO</w:t>
      </w:r>
    </w:p>
    <w:p>
      <w:pPr>
        <w:spacing w:before="0" w:after="160" w:line="276" w:lineRule="auto"/>
        <w:jc w:val="both"/>
      </w:pPr>
      <w:r>
        <w:rPr>
          <w:rFonts w:ascii="Arial" w:hAnsi="Arial" w:eastAsia="Arial"/>
          <w:b w:val="0"/>
          <w:i w:val="0"/>
          <w:sz w:val="20"/>
        </w:rPr>
        <w:t>De las 90 normas publicadas en el periodo, 7 resultan de interés institucional: 3 de normatividad presupuestal y 4 de inversiones. No se identificaron normas que involucren a la ATU. El Cuadro 1 presenta la relación completa y la sección 2, el detalle de cada norma.</w:t>
      </w:r>
    </w:p>
    <w:p>
      <w:pPr>
        <w:keepNext/>
        <w:spacing w:before="80" w:after="60" w:line="276" w:lineRule="auto"/>
      </w:pPr>
      <w:r>
        <w:rPr>
          <w:rFonts w:ascii="Arial" w:hAnsi="Arial" w:eastAsia="Arial"/>
          <w:b/>
          <w:i w:val="0"/>
          <w:color w:val="0A2F5C"/>
          <w:sz w:val="18"/>
        </w:rPr>
        <w:t>Cuadro 1. Normas de interés identificadas</w:t>
      </w: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2353"/>
        <w:gridCol w:w="2353"/>
        <w:gridCol w:w="2353"/>
        <w:gridCol w:w="2353"/>
      </w:tblGrid>
      <w:tr>
        <w:trPr>
          <w:cantSplit/>
          <w:tblHeader/>
        </w:trPr>
        <w:tc>
          <w:tcPr>
            <w:tcW w:type="dxa" w:w="567"/>
            <w:shd w:val="clear" w:color="auto" w:fill="0A2F5C"/>
          </w:tcPr>
          <w:p>
            <w:pPr>
              <w:spacing w:before="20" w:after="20" w:line="264" w:lineRule="auto"/>
              <w:jc w:val="center"/>
            </w:pPr>
            <w:r>
              <w:rPr>
                <w:rFonts w:ascii="Arial" w:hAnsi="Arial" w:eastAsia="Arial"/>
                <w:b/>
                <w:i w:val="0"/>
                <w:color w:val="FFFFFF"/>
                <w:sz w:val="17"/>
              </w:rPr>
              <w:t>N.°</w:t>
            </w:r>
          </w:p>
        </w:tc>
        <w:tc>
          <w:tcPr>
            <w:tcW w:type="dxa" w:w="2835"/>
            <w:shd w:val="clear" w:color="auto" w:fill="0A2F5C"/>
          </w:tcPr>
          <w:p>
            <w:pPr>
              <w:spacing w:before="20" w:after="20" w:line="264" w:lineRule="auto"/>
              <w:jc w:val="center"/>
            </w:pPr>
            <w:r>
              <w:rPr>
                <w:rFonts w:ascii="Arial" w:hAnsi="Arial" w:eastAsia="Arial"/>
                <w:b/>
                <w:i w:val="0"/>
                <w:color w:val="FFFFFF"/>
                <w:sz w:val="17"/>
              </w:rPr>
              <w:t>Norma y entidad emisora</w:t>
            </w:r>
          </w:p>
        </w:tc>
        <w:tc>
          <w:tcPr>
            <w:tcW w:type="dxa" w:w="4762"/>
            <w:shd w:val="clear" w:color="auto" w:fill="0A2F5C"/>
          </w:tcPr>
          <w:p>
            <w:pPr>
              <w:spacing w:before="20" w:after="20" w:line="264" w:lineRule="auto"/>
              <w:jc w:val="center"/>
            </w:pPr>
            <w:r>
              <w:rPr>
                <w:rFonts w:ascii="Arial" w:hAnsi="Arial" w:eastAsia="Arial"/>
                <w:b/>
                <w:i w:val="0"/>
                <w:color w:val="FFFFFF"/>
                <w:sz w:val="17"/>
              </w:rPr>
              <w:t>Sumilla</w:t>
            </w:r>
          </w:p>
        </w:tc>
        <w:tc>
          <w:tcPr>
            <w:tcW w:type="dxa" w:w="1247"/>
            <w:shd w:val="clear" w:color="auto" w:fill="0A2F5C"/>
          </w:tcPr>
          <w:p>
            <w:pPr>
              <w:spacing w:before="20" w:after="20" w:line="264" w:lineRule="auto"/>
              <w:jc w:val="center"/>
            </w:pPr>
            <w:r>
              <w:rPr>
                <w:rFonts w:ascii="Arial" w:hAnsi="Arial" w:eastAsia="Arial"/>
                <w:b/>
                <w:i w:val="0"/>
                <w:color w:val="FFFFFF"/>
                <w:sz w:val="17"/>
              </w:rPr>
              <w:t>Publicación</w:t>
            </w:r>
          </w:p>
        </w:tc>
      </w:tr>
      <w:tr>
        <w:trPr>
          <w:cantSplit/>
        </w:trPr>
        <w:tc>
          <w:tcPr>
            <w:tcW w:type="dxa" w:w="1247"/>
            <w:gridSpan w:val="4"/>
            <w:shd w:val="clear" w:color="auto" w:fill="F2F5FA"/>
            <w:tcBorders>
              <w:left w:val="single" w:sz="30" w:space="0" w:color="EB6834"/>
            </w:tcBorders>
          </w:tcPr>
          <w:p>
            <w:pPr>
              <w:spacing w:before="20" w:after="20" w:line="264" w:lineRule="auto"/>
            </w:pPr>
            <w:r>
              <w:rPr>
                <w:rFonts w:ascii="Arial" w:hAnsi="Arial" w:eastAsia="Arial"/>
                <w:b/>
                <w:i w:val="0"/>
                <w:color w:val="0A2F5C"/>
                <w:sz w:val="17"/>
              </w:rPr>
              <w:t>NORMATIVIDAD PRESUPUESTAL  (3)</w:t>
            </w:r>
          </w:p>
        </w:tc>
      </w:tr>
      <w:tr>
        <w:trPr>
          <w:cantSplit/>
        </w:trPr>
        <w:tc>
          <w:tcPr>
            <w:tcW w:type="dxa" w:w="567"/>
          </w:tcPr>
          <w:p>
            <w:pPr>
              <w:spacing w:before="20" w:after="20" w:line="264" w:lineRule="auto"/>
              <w:jc w:val="center"/>
            </w:pPr>
            <w:r>
              <w:rPr>
                <w:rFonts w:ascii="Arial" w:hAnsi="Arial" w:eastAsia="Arial"/>
                <w:b/>
                <w:i w:val="0"/>
                <w:color w:val="0A2F5C"/>
                <w:sz w:val="18"/>
              </w:rPr>
              <w:t>1</w:t>
            </w:r>
          </w:p>
        </w:tc>
        <w:tc>
          <w:tcPr>
            <w:tcW w:type="dxa" w:w="2835"/>
          </w:tcPr>
          <w:p>
            <w:pPr>
              <w:spacing w:before="20" w:after="20" w:line="264" w:lineRule="auto"/>
            </w:pPr>
            <w:hyperlink r:id="rId11">
              <w:r>
                <w:rPr>
                  <w:rFonts w:ascii="Arial" w:hAnsi="Arial" w:eastAsia="Arial" w:cs="Arial"/>
                  <w:b/>
                  <w:color w:val="0B5CAD"/>
                  <w:sz w:val="17"/>
                  <w:u w:val="single"/>
                </w:rPr>
                <w:t xml:space="preserve">DECRETO SUPREMO N° 183-2026-EF</w:t>
              </w:r>
            </w:hyperlink>
          </w:p>
          <w:p>
            <w:pPr>
              <w:spacing w:before="0" w:after="20" w:line="252" w:lineRule="auto"/>
            </w:pPr>
            <w:r>
              <w:rPr>
                <w:rFonts w:ascii="Arial" w:hAnsi="Arial" w:eastAsia="Arial"/>
                <w:b w:val="0"/>
                <w:i w:val="0"/>
                <w:color w:val="5B6880"/>
                <w:sz w:val="15"/>
              </w:rPr>
              <w:t>ECONOMÍA Y FINANZAS</w:t>
            </w:r>
          </w:p>
        </w:tc>
        <w:tc>
          <w:tcPr>
            <w:tcW w:type="dxa" w:w="4762"/>
          </w:tcPr>
          <w:p>
            <w:pPr>
              <w:spacing w:before="20" w:after="20" w:line="264" w:lineRule="auto"/>
            </w:pPr>
            <w:r>
              <w:rPr>
                <w:rFonts w:ascii="Arial" w:hAnsi="Arial" w:eastAsia="Arial"/>
                <w:b w:val="0"/>
                <w:i w:val="0"/>
                <w:sz w:val="17"/>
              </w:rPr>
              <w:t>Decreto Supremo que autoriza Transferencia de Partidas en el Presupuesto del Sector Público para el Año Fiscal 2026 a favor de diversos pliegos del Gobierno Nacional</w:t>
            </w:r>
          </w:p>
        </w:tc>
        <w:tc>
          <w:tcPr>
            <w:tcW w:type="dxa" w:w="1247"/>
          </w:tcPr>
          <w:p>
            <w:pPr>
              <w:spacing w:before="20" w:after="20" w:line="264" w:lineRule="auto"/>
              <w:jc w:val="center"/>
            </w:pPr>
            <w:r>
              <w:rPr>
                <w:rFonts w:ascii="Arial" w:hAnsi="Arial" w:eastAsia="Arial"/>
                <w:b w:val="0"/>
                <w:i w:val="0"/>
                <w:sz w:val="17"/>
              </w:rPr>
              <w:t>09/09/2026</w:t>
            </w:r>
          </w:p>
          <w:p>
            <w:pPr>
              <w:spacing w:before="0" w:after="0" w:line="240" w:lineRule="auto"/>
              <w:jc w:val="center"/>
            </w:pPr>
            <w:r>
              <w:rPr>
                <w:rFonts w:ascii="Arial" w:hAnsi="Arial" w:eastAsia="Arial"/>
                <w:b w:val="0"/>
                <w:i w:val="0"/>
                <w:color w:val="B42318"/>
                <w:sz w:val="14"/>
              </w:rPr>
              <w:t>Edición extraordinaria</w:t>
            </w:r>
          </w:p>
        </w:tc>
      </w:tr>
      <w:tr>
        <w:trPr>
          <w:cantSplit/>
        </w:trPr>
        <w:tc>
          <w:tcPr>
            <w:tcW w:type="dxa" w:w="567"/>
          </w:tcPr>
          <w:p>
            <w:pPr>
              <w:spacing w:before="20" w:after="20" w:line="264" w:lineRule="auto"/>
              <w:jc w:val="center"/>
            </w:pPr>
            <w:r>
              <w:rPr>
                <w:rFonts w:ascii="Arial" w:hAnsi="Arial" w:eastAsia="Arial"/>
                <w:b/>
                <w:i w:val="0"/>
                <w:color w:val="0A2F5C"/>
                <w:sz w:val="18"/>
              </w:rPr>
              <w:t>2</w:t>
            </w:r>
          </w:p>
        </w:tc>
        <w:tc>
          <w:tcPr>
            <w:tcW w:type="dxa" w:w="2835"/>
          </w:tcPr>
          <w:p>
            <w:pPr>
              <w:spacing w:before="20" w:after="20" w:line="264" w:lineRule="auto"/>
            </w:pPr>
            <w:hyperlink r:id="rId12">
              <w:r>
                <w:rPr>
                  <w:rFonts w:ascii="Arial" w:hAnsi="Arial" w:eastAsia="Arial" w:cs="Arial"/>
                  <w:b/>
                  <w:color w:val="0B5CAD"/>
                  <w:sz w:val="17"/>
                  <w:u w:val="single"/>
                </w:rPr>
                <w:t xml:space="preserve">ACUERDO  N° 000170 -2026-GRLL-CR</w:t>
              </w:r>
            </w:hyperlink>
          </w:p>
          <w:p>
            <w:pPr>
              <w:spacing w:before="0" w:after="20" w:line="252" w:lineRule="auto"/>
            </w:pPr>
            <w:r>
              <w:rPr>
                <w:rFonts w:ascii="Arial" w:hAnsi="Arial" w:eastAsia="Arial"/>
                <w:b w:val="0"/>
                <w:i w:val="0"/>
                <w:color w:val="5B6880"/>
                <w:sz w:val="15"/>
              </w:rPr>
              <w:t>GOBIERNO REGIONAL DE LA LIBERTAD</w:t>
            </w:r>
          </w:p>
        </w:tc>
        <w:tc>
          <w:tcPr>
            <w:tcW w:type="dxa" w:w="4762"/>
          </w:tcPr>
          <w:p>
            <w:pPr>
              <w:spacing w:before="20" w:after="20" w:line="264" w:lineRule="auto"/>
            </w:pPr>
            <w:r>
              <w:rPr>
                <w:rFonts w:ascii="Arial" w:hAnsi="Arial" w:eastAsia="Arial"/>
                <w:b w:val="0"/>
                <w:i w:val="0"/>
                <w:sz w:val="17"/>
              </w:rPr>
              <w:t>Autorizan Transferencia Financiera a favor de la Municipalidad Distrital de La Esperanza</w:t>
            </w:r>
          </w:p>
        </w:tc>
        <w:tc>
          <w:tcPr>
            <w:tcW w:type="dxa" w:w="1247"/>
          </w:tcPr>
          <w:p>
            <w:pPr>
              <w:spacing w:before="20" w:after="20" w:line="264" w:lineRule="auto"/>
              <w:jc w:val="center"/>
            </w:pPr>
            <w:r>
              <w:rPr>
                <w:rFonts w:ascii="Arial" w:hAnsi="Arial" w:eastAsia="Arial"/>
                <w:b w:val="0"/>
                <w:i w:val="0"/>
                <w:sz w:val="17"/>
              </w:rPr>
              <w:t>09/09/2026</w:t>
            </w:r>
          </w:p>
        </w:tc>
      </w:tr>
      <w:tr>
        <w:trPr>
          <w:cantSplit/>
        </w:trPr>
        <w:tc>
          <w:tcPr>
            <w:tcW w:type="dxa" w:w="567"/>
          </w:tcPr>
          <w:p>
            <w:pPr>
              <w:spacing w:before="20" w:after="20" w:line="264" w:lineRule="auto"/>
              <w:jc w:val="center"/>
            </w:pPr>
            <w:r>
              <w:rPr>
                <w:rFonts w:ascii="Arial" w:hAnsi="Arial" w:eastAsia="Arial"/>
                <w:b/>
                <w:i w:val="0"/>
                <w:color w:val="0A2F5C"/>
                <w:sz w:val="18"/>
              </w:rPr>
              <w:t>3</w:t>
            </w:r>
          </w:p>
        </w:tc>
        <w:tc>
          <w:tcPr>
            <w:tcW w:type="dxa" w:w="2835"/>
          </w:tcPr>
          <w:p>
            <w:pPr>
              <w:spacing w:before="20" w:after="20" w:line="264" w:lineRule="auto"/>
            </w:pPr>
            <w:hyperlink r:id="rId13">
              <w:r>
                <w:rPr>
                  <w:rFonts w:ascii="Arial" w:hAnsi="Arial" w:eastAsia="Arial" w:cs="Arial"/>
                  <w:b/>
                  <w:color w:val="0B5CAD"/>
                  <w:sz w:val="17"/>
                  <w:u w:val="single"/>
                </w:rPr>
                <w:t xml:space="preserve">ACUERDO  N° 000171-2026-GRLL-CR</w:t>
              </w:r>
            </w:hyperlink>
          </w:p>
          <w:p>
            <w:pPr>
              <w:spacing w:before="0" w:after="20" w:line="252" w:lineRule="auto"/>
            </w:pPr>
            <w:r>
              <w:rPr>
                <w:rFonts w:ascii="Arial" w:hAnsi="Arial" w:eastAsia="Arial"/>
                <w:b w:val="0"/>
                <w:i w:val="0"/>
                <w:color w:val="5B6880"/>
                <w:sz w:val="15"/>
              </w:rPr>
              <w:t>GOBIERNO REGIONAL DE LA LIBERTAD</w:t>
            </w:r>
          </w:p>
        </w:tc>
        <w:tc>
          <w:tcPr>
            <w:tcW w:type="dxa" w:w="4762"/>
          </w:tcPr>
          <w:p>
            <w:pPr>
              <w:spacing w:before="20" w:after="20" w:line="264" w:lineRule="auto"/>
            </w:pPr>
            <w:r>
              <w:rPr>
                <w:rFonts w:ascii="Arial" w:hAnsi="Arial" w:eastAsia="Arial"/>
                <w:b w:val="0"/>
                <w:i w:val="0"/>
                <w:sz w:val="17"/>
              </w:rPr>
              <w:t>Aprueban Transferencia Financiera a favor de la Municipalidad Distrital de Bambamarca</w:t>
            </w:r>
          </w:p>
        </w:tc>
        <w:tc>
          <w:tcPr>
            <w:tcW w:type="dxa" w:w="1247"/>
          </w:tcPr>
          <w:p>
            <w:pPr>
              <w:spacing w:before="20" w:after="20" w:line="264" w:lineRule="auto"/>
              <w:jc w:val="center"/>
            </w:pPr>
            <w:r>
              <w:rPr>
                <w:rFonts w:ascii="Arial" w:hAnsi="Arial" w:eastAsia="Arial"/>
                <w:b w:val="0"/>
                <w:i w:val="0"/>
                <w:sz w:val="17"/>
              </w:rPr>
              <w:t>09/09/2026</w:t>
            </w:r>
          </w:p>
        </w:tc>
      </w:tr>
      <w:tr>
        <w:trPr>
          <w:cantSplit/>
        </w:trPr>
        <w:tc>
          <w:tcPr>
            <w:tcW w:type="dxa" w:w="1247"/>
            <w:gridSpan w:val="4"/>
            <w:shd w:val="clear" w:color="auto" w:fill="F2F5FA"/>
            <w:tcBorders>
              <w:left w:val="single" w:sz="30" w:space="0" w:color="1BAF7A"/>
            </w:tcBorders>
          </w:tcPr>
          <w:p>
            <w:pPr>
              <w:spacing w:before="20" w:after="20" w:line="264" w:lineRule="auto"/>
            </w:pPr>
            <w:r>
              <w:rPr>
                <w:rFonts w:ascii="Arial" w:hAnsi="Arial" w:eastAsia="Arial"/>
                <w:b/>
                <w:i w:val="0"/>
                <w:color w:val="0A2F5C"/>
                <w:sz w:val="17"/>
              </w:rPr>
              <w:t>INVERSIONES  (4)</w:t>
            </w:r>
          </w:p>
        </w:tc>
      </w:tr>
      <w:tr>
        <w:trPr>
          <w:cantSplit/>
        </w:trPr>
        <w:tc>
          <w:tcPr>
            <w:tcW w:type="dxa" w:w="567"/>
          </w:tcPr>
          <w:p>
            <w:pPr>
              <w:spacing w:before="20" w:after="20" w:line="264" w:lineRule="auto"/>
              <w:jc w:val="center"/>
            </w:pPr>
            <w:r>
              <w:rPr>
                <w:rFonts w:ascii="Arial" w:hAnsi="Arial" w:eastAsia="Arial"/>
                <w:b/>
                <w:i w:val="0"/>
                <w:color w:val="0A2F5C"/>
                <w:sz w:val="18"/>
              </w:rPr>
              <w:t>4</w:t>
            </w:r>
          </w:p>
        </w:tc>
        <w:tc>
          <w:tcPr>
            <w:tcW w:type="dxa" w:w="2835"/>
          </w:tcPr>
          <w:p>
            <w:pPr>
              <w:spacing w:before="20" w:after="20" w:line="264" w:lineRule="auto"/>
            </w:pPr>
            <w:hyperlink r:id="rId14">
              <w:r>
                <w:rPr>
                  <w:rFonts w:ascii="Arial" w:hAnsi="Arial" w:eastAsia="Arial" w:cs="Arial"/>
                  <w:b/>
                  <w:color w:val="0B5CAD"/>
                  <w:sz w:val="17"/>
                  <w:u w:val="single"/>
                </w:rPr>
                <w:t xml:space="preserve">RESOLUCIÓN MINISTERIAL N° 000332-2026-MC</w:t>
              </w:r>
            </w:hyperlink>
          </w:p>
          <w:p>
            <w:pPr>
              <w:spacing w:before="0" w:after="20" w:line="252" w:lineRule="auto"/>
            </w:pPr>
            <w:r>
              <w:rPr>
                <w:rFonts w:ascii="Arial" w:hAnsi="Arial" w:eastAsia="Arial"/>
                <w:b w:val="0"/>
                <w:i w:val="0"/>
                <w:color w:val="5B6880"/>
                <w:sz w:val="15"/>
              </w:rPr>
              <w:t>CULTURA</w:t>
            </w:r>
          </w:p>
        </w:tc>
        <w:tc>
          <w:tcPr>
            <w:tcW w:type="dxa" w:w="4762"/>
          </w:tcPr>
          <w:p>
            <w:pPr>
              <w:spacing w:before="20" w:after="20" w:line="264" w:lineRule="auto"/>
            </w:pPr>
            <w:r>
              <w:rPr>
                <w:rFonts w:ascii="Arial" w:hAnsi="Arial" w:eastAsia="Arial"/>
                <w:b w:val="0"/>
                <w:i w:val="0"/>
                <w:sz w:val="17"/>
              </w:rPr>
              <w:t>Aprueban listado de servicios que pueden ejecutarse mediante el mecanismo de Obras por Impuestos y su contenido mínimo</w:t>
            </w:r>
          </w:p>
        </w:tc>
        <w:tc>
          <w:tcPr>
            <w:tcW w:type="dxa" w:w="1247"/>
          </w:tcPr>
          <w:p>
            <w:pPr>
              <w:spacing w:before="20" w:after="20" w:line="264" w:lineRule="auto"/>
              <w:jc w:val="center"/>
            </w:pPr>
            <w:r>
              <w:rPr>
                <w:rFonts w:ascii="Arial" w:hAnsi="Arial" w:eastAsia="Arial"/>
                <w:b w:val="0"/>
                <w:i w:val="0"/>
                <w:sz w:val="17"/>
              </w:rPr>
              <w:t>09/09/2026</w:t>
            </w:r>
          </w:p>
          <w:p>
            <w:pPr>
              <w:spacing w:before="0" w:after="0" w:line="240" w:lineRule="auto"/>
              <w:jc w:val="center"/>
            </w:pPr>
            <w:r>
              <w:rPr>
                <w:rFonts w:ascii="Arial" w:hAnsi="Arial" w:eastAsia="Arial"/>
                <w:b w:val="0"/>
                <w:i w:val="0"/>
                <w:color w:val="B42318"/>
                <w:sz w:val="14"/>
              </w:rPr>
              <w:t>Edición extraordinaria</w:t>
            </w:r>
          </w:p>
        </w:tc>
      </w:tr>
      <w:tr>
        <w:trPr>
          <w:cantSplit/>
        </w:trPr>
        <w:tc>
          <w:tcPr>
            <w:tcW w:type="dxa" w:w="567"/>
          </w:tcPr>
          <w:p>
            <w:pPr>
              <w:spacing w:before="20" w:after="20" w:line="264" w:lineRule="auto"/>
              <w:jc w:val="center"/>
            </w:pPr>
            <w:r>
              <w:rPr>
                <w:rFonts w:ascii="Arial" w:hAnsi="Arial" w:eastAsia="Arial"/>
                <w:b/>
                <w:i w:val="0"/>
                <w:color w:val="0A2F5C"/>
                <w:sz w:val="18"/>
              </w:rPr>
              <w:t>5</w:t>
            </w:r>
          </w:p>
        </w:tc>
        <w:tc>
          <w:tcPr>
            <w:tcW w:type="dxa" w:w="2835"/>
          </w:tcPr>
          <w:p>
            <w:pPr>
              <w:spacing w:before="20" w:after="20" w:line="264" w:lineRule="auto"/>
            </w:pPr>
            <w:hyperlink r:id="rId15">
              <w:r>
                <w:rPr>
                  <w:rFonts w:ascii="Arial" w:hAnsi="Arial" w:eastAsia="Arial" w:cs="Arial"/>
                  <w:b/>
                  <w:color w:val="0B5CAD"/>
                  <w:sz w:val="17"/>
                  <w:u w:val="single"/>
                </w:rPr>
                <w:t xml:space="preserve">RESOLUCIÓN MINISTERIAL N° 544-2026-MINEDU</w:t>
              </w:r>
            </w:hyperlink>
          </w:p>
          <w:p>
            <w:pPr>
              <w:spacing w:before="0" w:after="20" w:line="252" w:lineRule="auto"/>
            </w:pPr>
            <w:r>
              <w:rPr>
                <w:rFonts w:ascii="Arial" w:hAnsi="Arial" w:eastAsia="Arial"/>
                <w:b w:val="0"/>
                <w:i w:val="0"/>
                <w:color w:val="5B6880"/>
                <w:sz w:val="15"/>
              </w:rPr>
              <w:t>EDUCACIÓN</w:t>
            </w:r>
          </w:p>
        </w:tc>
        <w:tc>
          <w:tcPr>
            <w:tcW w:type="dxa" w:w="4762"/>
          </w:tcPr>
          <w:p>
            <w:pPr>
              <w:spacing w:before="20" w:after="20" w:line="264" w:lineRule="auto"/>
            </w:pPr>
            <w:r>
              <w:rPr>
                <w:rFonts w:ascii="Arial" w:hAnsi="Arial" w:eastAsia="Arial"/>
                <w:b w:val="0"/>
                <w:i w:val="0"/>
                <w:sz w:val="17"/>
              </w:rPr>
              <w:t>Aprueban la Relación de Servicios que pueden ejecutarse mediante el mecanismo de Obras por Impuestos en el marco del Decreto de Urgencia N° 010-2026 para atender el Fenómeno El Niño y su contenido mínimo</w:t>
            </w:r>
          </w:p>
        </w:tc>
        <w:tc>
          <w:tcPr>
            <w:tcW w:type="dxa" w:w="1247"/>
          </w:tcPr>
          <w:p>
            <w:pPr>
              <w:spacing w:before="20" w:after="20" w:line="264" w:lineRule="auto"/>
              <w:jc w:val="center"/>
            </w:pPr>
            <w:r>
              <w:rPr>
                <w:rFonts w:ascii="Arial" w:hAnsi="Arial" w:eastAsia="Arial"/>
                <w:b w:val="0"/>
                <w:i w:val="0"/>
                <w:sz w:val="17"/>
              </w:rPr>
              <w:t>09/09/2026</w:t>
            </w:r>
          </w:p>
          <w:p>
            <w:pPr>
              <w:spacing w:before="0" w:after="0" w:line="240" w:lineRule="auto"/>
              <w:jc w:val="center"/>
            </w:pPr>
            <w:r>
              <w:rPr>
                <w:rFonts w:ascii="Arial" w:hAnsi="Arial" w:eastAsia="Arial"/>
                <w:b w:val="0"/>
                <w:i w:val="0"/>
                <w:color w:val="B42318"/>
                <w:sz w:val="14"/>
              </w:rPr>
              <w:t>Edición extraordinaria</w:t>
            </w:r>
          </w:p>
        </w:tc>
      </w:tr>
      <w:tr>
        <w:trPr>
          <w:cantSplit/>
        </w:trPr>
        <w:tc>
          <w:tcPr>
            <w:tcW w:type="dxa" w:w="567"/>
          </w:tcPr>
          <w:p>
            <w:pPr>
              <w:spacing w:before="20" w:after="20" w:line="264" w:lineRule="auto"/>
              <w:jc w:val="center"/>
            </w:pPr>
            <w:r>
              <w:rPr>
                <w:rFonts w:ascii="Arial" w:hAnsi="Arial" w:eastAsia="Arial"/>
                <w:b/>
                <w:i w:val="0"/>
                <w:color w:val="0A2F5C"/>
                <w:sz w:val="18"/>
              </w:rPr>
              <w:t>6</w:t>
            </w:r>
          </w:p>
        </w:tc>
        <w:tc>
          <w:tcPr>
            <w:tcW w:type="dxa" w:w="2835"/>
          </w:tcPr>
          <w:p>
            <w:pPr>
              <w:spacing w:before="20" w:after="20" w:line="264" w:lineRule="auto"/>
            </w:pPr>
            <w:hyperlink r:id="rId16">
              <w:r>
                <w:rPr>
                  <w:rFonts w:ascii="Arial" w:hAnsi="Arial" w:eastAsia="Arial" w:cs="Arial"/>
                  <w:b/>
                  <w:color w:val="0B5CAD"/>
                  <w:sz w:val="17"/>
                  <w:u w:val="single"/>
                </w:rPr>
                <w:t xml:space="preserve">RESOLUCIÓN  N° 000109-2026-CD/OSIPTEL</w:t>
              </w:r>
            </w:hyperlink>
          </w:p>
          <w:p>
            <w:pPr>
              <w:spacing w:before="0" w:after="20" w:line="252" w:lineRule="auto"/>
            </w:pPr>
            <w:r>
              <w:rPr>
                <w:rFonts w:ascii="Arial" w:hAnsi="Arial" w:eastAsia="Arial"/>
                <w:b w:val="0"/>
                <w:i w:val="0"/>
                <w:color w:val="5B6880"/>
                <w:sz w:val="15"/>
              </w:rPr>
              <w:t>ORGANISMO SUPERVISOR DE INVERSIÓN PRIVADA EN TELECOMUNICACIONES</w:t>
            </w:r>
          </w:p>
        </w:tc>
        <w:tc>
          <w:tcPr>
            <w:tcW w:type="dxa" w:w="4762"/>
          </w:tcPr>
          <w:p>
            <w:pPr>
              <w:spacing w:before="20" w:after="20" w:line="264" w:lineRule="auto"/>
            </w:pPr>
            <w:r>
              <w:rPr>
                <w:rFonts w:ascii="Arial" w:hAnsi="Arial" w:eastAsia="Arial"/>
                <w:b w:val="0"/>
                <w:i w:val="0"/>
                <w:sz w:val="17"/>
              </w:rPr>
              <w:t>Aprueban el Mandato de Compartición de Infraestructura entre la empresa Red en Telecomunicaciones del Sur S.C.R.L. y la empresa Sociedad Eléctrica del Sur Oeste S.A.</w:t>
            </w:r>
          </w:p>
        </w:tc>
        <w:tc>
          <w:tcPr>
            <w:tcW w:type="dxa" w:w="1247"/>
          </w:tcPr>
          <w:p>
            <w:pPr>
              <w:spacing w:before="20" w:after="20" w:line="264" w:lineRule="auto"/>
              <w:jc w:val="center"/>
            </w:pPr>
            <w:r>
              <w:rPr>
                <w:rFonts w:ascii="Arial" w:hAnsi="Arial" w:eastAsia="Arial"/>
                <w:b w:val="0"/>
                <w:i w:val="0"/>
                <w:sz w:val="17"/>
              </w:rPr>
              <w:t>09/09/2026</w:t>
            </w:r>
          </w:p>
        </w:tc>
      </w:tr>
      <w:tr>
        <w:trPr>
          <w:cantSplit/>
        </w:trPr>
        <w:tc>
          <w:tcPr>
            <w:tcW w:type="dxa" w:w="567"/>
          </w:tcPr>
          <w:p>
            <w:pPr>
              <w:spacing w:before="20" w:after="20" w:line="264" w:lineRule="auto"/>
              <w:jc w:val="center"/>
            </w:pPr>
            <w:r>
              <w:rPr>
                <w:rFonts w:ascii="Arial" w:hAnsi="Arial" w:eastAsia="Arial"/>
                <w:b/>
                <w:i w:val="0"/>
                <w:color w:val="0A2F5C"/>
                <w:sz w:val="18"/>
              </w:rPr>
              <w:t>7</w:t>
            </w:r>
          </w:p>
        </w:tc>
        <w:tc>
          <w:tcPr>
            <w:tcW w:type="dxa" w:w="2835"/>
          </w:tcPr>
          <w:p>
            <w:pPr>
              <w:spacing w:before="20" w:after="20" w:line="264" w:lineRule="auto"/>
            </w:pPr>
            <w:hyperlink r:id="rId17">
              <w:r>
                <w:rPr>
                  <w:rFonts w:ascii="Arial" w:hAnsi="Arial" w:eastAsia="Arial" w:cs="Arial"/>
                  <w:b/>
                  <w:color w:val="0B5CAD"/>
                  <w:sz w:val="17"/>
                  <w:u w:val="single"/>
                </w:rPr>
                <w:t xml:space="preserve">RESOLUCIÓN MINISTERIAL N° 808-2026/MINSA</w:t>
              </w:r>
            </w:hyperlink>
          </w:p>
          <w:p>
            <w:pPr>
              <w:spacing w:before="0" w:after="20" w:line="252" w:lineRule="auto"/>
            </w:pPr>
            <w:r>
              <w:rPr>
                <w:rFonts w:ascii="Arial" w:hAnsi="Arial" w:eastAsia="Arial"/>
                <w:b w:val="0"/>
                <w:i w:val="0"/>
                <w:color w:val="5B6880"/>
                <w:sz w:val="15"/>
              </w:rPr>
              <w:t>SALUD</w:t>
            </w:r>
          </w:p>
        </w:tc>
        <w:tc>
          <w:tcPr>
            <w:tcW w:type="dxa" w:w="4762"/>
          </w:tcPr>
          <w:p>
            <w:pPr>
              <w:spacing w:before="20" w:after="20" w:line="264" w:lineRule="auto"/>
            </w:pPr>
            <w:r>
              <w:rPr>
                <w:rFonts w:ascii="Arial" w:hAnsi="Arial" w:eastAsia="Arial"/>
                <w:b w:val="0"/>
                <w:i w:val="0"/>
                <w:sz w:val="17"/>
              </w:rPr>
              <w:t>Aprueban Relación de Servicios que pueden ejecutarse mediante el mecanismo de Obras por Impuestos en el marco de lo dispuesto en el numeral 4.2 del artículo 4 y la Quinta Disposición Complementaria Final del Decreto de Urgencia N° 010-2026</w:t>
            </w:r>
          </w:p>
        </w:tc>
        <w:tc>
          <w:tcPr>
            <w:tcW w:type="dxa" w:w="1247"/>
          </w:tcPr>
          <w:p>
            <w:pPr>
              <w:spacing w:before="20" w:after="20" w:line="264" w:lineRule="auto"/>
              <w:jc w:val="center"/>
            </w:pPr>
            <w:r>
              <w:rPr>
                <w:rFonts w:ascii="Arial" w:hAnsi="Arial" w:eastAsia="Arial"/>
                <w:b w:val="0"/>
                <w:i w:val="0"/>
                <w:sz w:val="17"/>
              </w:rPr>
              <w:t>09/09/2026</w:t>
            </w:r>
          </w:p>
          <w:p>
            <w:pPr>
              <w:spacing w:before="0" w:after="0" w:line="240" w:lineRule="auto"/>
              <w:jc w:val="center"/>
            </w:pPr>
            <w:r>
              <w:rPr>
                <w:rFonts w:ascii="Arial" w:hAnsi="Arial" w:eastAsia="Arial"/>
                <w:b w:val="0"/>
                <w:i w:val="0"/>
                <w:color w:val="B42318"/>
                <w:sz w:val="14"/>
              </w:rPr>
              <w:t>Edición extraordinaria</w:t>
            </w:r>
          </w:p>
        </w:tc>
      </w:tr>
    </w:tbl>
    <w:p>
      <w:pPr>
        <w:spacing w:before="280" w:after="120" w:line="276" w:lineRule="auto"/>
        <w:keepNext/>
        <w:pBdr>
          <w:bottom w:val="single" w:sz="6" w:space="2" w:color="C9D2DF"/>
        </w:pBdr>
      </w:pPr>
      <w:r>
        <w:rPr>
          <w:rFonts w:ascii="Arial" w:hAnsi="Arial" w:eastAsia="Arial"/>
          <w:b/>
          <w:i w:val="0"/>
          <w:color w:val="0A2F5C"/>
          <w:sz w:val="22"/>
        </w:rPr>
        <w:t>2. DETALLE DE LAS NORMAS</w:t>
      </w:r>
    </w:p>
    <w:p>
      <w:pPr>
        <w:keepNext/>
        <w:spacing w:before="160" w:after="80" w:line="276" w:lineRule="auto"/>
      </w:pPr>
      <w:r>
        <w:rPr>
          <w:rFonts w:ascii="Arial" w:hAnsi="Arial" w:eastAsia="Arial"/>
          <w:b/>
          <w:i w:val="0"/>
          <w:color w:val="0B5CAD"/>
          <w:sz w:val="21"/>
        </w:rPr>
        <w:t>2.1  Normatividad presupuestal</w:t>
      </w: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1.  DECRETO SUPREMO N° 183-2026-EF</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ECONOMÍA Y FINANZAS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09/09/2026 · Edición extraordinaria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Decreto Supremo que autoriza Transferencia de Partidas en el Presupuesto del Sector Público para el Año Fiscal 2026 a favor de diversos pliegos del Gobierno Nacional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Objeto Se autoriza una Transferencia de Partidas en el Presupuesto del Sector Público para el Año Fiscal 2026, hasta por la suma de S/ 433 912 564,00 (CUATROCIENTOS TREINTA Y TRES MILLONES NOVECIENTOS DOCE MIL QUINIENTOS SESENTA Y CUATRO Y 00/100 SOLES), por la fuente de financiamiento Recursos Ordinarios, a favor del Ministerio de Defensa y del Ministerio del Interior, para financiar las transferencias financieras que dichos pliegos deben efectuar a favor de la Caja de Pensiones Militar Policial, a fin de ser destinadas exclusivamente al financiamiento del pago de las obligaciones previsionales a cargo de la citada Caja de Pensiones, en el marco de lo establecido en el numeral…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Montos citados</w:t>
            </w:r>
          </w:p>
        </w:tc>
        <w:tc>
          <w:tcPr>
            <w:tcW w:type="dxa" w:w="7370"/>
          </w:tcPr>
          <w:p>
            <w:pPr>
              <w:spacing w:before="20" w:after="20" w:line="264" w:lineRule="auto"/>
            </w:pPr>
            <w:r>
              <w:rPr>
                <w:rFonts w:ascii="Arial" w:hAnsi="Arial" w:eastAsia="Arial"/>
                <w:b w:val="0"/>
                <w:i w:val="0"/>
                <w:sz w:val="18"/>
              </w:rPr>
              <w:t>S/ 433 912 564,00 · S/ 161 463 053,00 · S/ 272 449 511,00</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1">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18">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19">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2.  ACUERDO  N° 000170 -2026-GRLL-CR</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GOBIERNO REGIONAL DE LA LIBERTAD</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09/09/2026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Autorizan Transferencia Financiera a favor de la Municipalidad Distrital de La Esperanza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Primero.- AUTORIZAR la Transferencia Financiera a favor de la Municipalidad Distrital de La Esperanza, hasta por la suma de S/ 10,145,101.00 (DIEZ MILLONES CIENTO CUARENTA Y CINCO MIL CIENTO UNO CON 00/100 SOLES), destinados al financiamiento de la ejecución del Proyecto, “MEJORAMIENTO DEL SERVICIO DE MOVILIDAD URBANA EN AVENIDA GRAN CHIMU DISTRITO DE LA ESPERANZA DE LA PROVINCIA DE TRUJILLO DEL DEPARTAMENTO DE LA LIBERTAD” con CUI N° 2674134”; los cuales no podrán ser destinados a fines distintos para los cuales son transferidos. Artículo Segundo.- AUTORIZAR a la Gobernadora del Gobierno Regional La Libertad, a disponer las acciones necesarias para la transferencia financiera…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Montos citados</w:t>
            </w:r>
          </w:p>
        </w:tc>
        <w:tc>
          <w:tcPr>
            <w:tcW w:type="dxa" w:w="7370"/>
          </w:tcPr>
          <w:p>
            <w:pPr>
              <w:spacing w:before="20" w:after="20" w:line="264" w:lineRule="auto"/>
            </w:pPr>
            <w:r>
              <w:rPr>
                <w:rFonts w:ascii="Arial" w:hAnsi="Arial" w:eastAsia="Arial"/>
                <w:b w:val="0"/>
                <w:i w:val="0"/>
                <w:sz w:val="18"/>
              </w:rPr>
              <w:t>S/ 10,145,101.00</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2">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20">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21">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3.  ACUERDO  N° 000171-2026-GRLL-CR</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GOBIERNO REGIONAL DE LA LIBERTAD</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09/09/2026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Aprueban Transferencia Financiera a favor de la Municipalidad Distrital de Bambamarca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Primero .- APROBAR la Transferencia Financiera a favor de la Municipalidad Distrital de Bambamarca, hasta por la suma de S/ 6,572,155.00 (Seis millones quinientos setenta y dos mil ciento cincuenta y cinco con 00/100 soles), destinados al financiamiento de la ejecución del proyecto de inversión: “MEJORAMIENTO Y AMPLIACION DEL SISTEMA DE AGUA POTABLE Y SANEAMIENTO BÁSICO EN LOS CASERÍOS HUAPSHA Y BELEN DE SIONERA DEL DISTRITO DE BAMBAMARCA - PROVINCIA DE BOLIVAR - DEPARTAMENTO DE LA LIBERTAD” con CUI 2463182; los cuales no podrán ser destinados a fines distintos para los cuales son transferidos. Artículo Segundo .- AUTORIZAR a la Gobernadora del Gobierno Regional La Libertad, 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Montos citados</w:t>
            </w:r>
          </w:p>
        </w:tc>
        <w:tc>
          <w:tcPr>
            <w:tcW w:type="dxa" w:w="7370"/>
          </w:tcPr>
          <w:p>
            <w:pPr>
              <w:spacing w:before="20" w:after="20" w:line="264" w:lineRule="auto"/>
            </w:pPr>
            <w:r>
              <w:rPr>
                <w:rFonts w:ascii="Arial" w:hAnsi="Arial" w:eastAsia="Arial"/>
                <w:b w:val="0"/>
                <w:i w:val="0"/>
                <w:sz w:val="18"/>
              </w:rPr>
              <w:t>S/ 6,572,155.00 · S/ 5,467,565.00</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3">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22">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23">
              <w:r>
                <w:rPr>
                  <w:rFonts w:ascii="Arial" w:hAnsi="Arial" w:eastAsia="Arial" w:cs="Arial"/>
                  <w:color w:val="0B5CAD"/>
                  <w:sz w:val="17"/>
                  <w:u w:val="single"/>
                </w:rPr>
                <w:t xml:space="preserve">PDF</w:t>
              </w:r>
            </w:hyperlink>
          </w:p>
        </w:tc>
      </w:tr>
    </w:tbl>
    <w:p>
      <w:pPr>
        <w:spacing w:before="0" w:after="120" w:line="276" w:lineRule="auto"/>
      </w:pPr>
    </w:p>
    <w:p>
      <w:pPr>
        <w:keepNext/>
        <w:spacing w:before="160" w:after="80" w:line="276" w:lineRule="auto"/>
      </w:pPr>
      <w:r>
        <w:rPr>
          <w:rFonts w:ascii="Arial" w:hAnsi="Arial" w:eastAsia="Arial"/>
          <w:b/>
          <w:i w:val="0"/>
          <w:color w:val="0B5CAD"/>
          <w:sz w:val="21"/>
        </w:rPr>
        <w:t>2.2  Inversiones</w:t>
      </w: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1BAF7A"/>
            </w:tcBorders>
          </w:tcPr>
          <w:p>
            <w:pPr>
              <w:spacing w:before="20" w:after="20" w:line="264" w:lineRule="auto"/>
            </w:pPr>
            <w:r>
              <w:rPr>
                <w:rFonts w:ascii="Arial" w:hAnsi="Arial" w:eastAsia="Arial"/>
                <w:b/>
                <w:i w:val="0"/>
                <w:color w:val="0A2F5C"/>
                <w:sz w:val="19"/>
              </w:rPr>
              <w:t>4.  RESOLUCIÓN MINISTERIAL N° 000332-2026-MC</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CULTURA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09/09/2026 · Edición extraordinaria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Inversiones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Aprueban listado de servicios que pueden ejecutarse mediante el mecanismo de Obras por Impuestos y su contenido mínimo</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Aprobar el listado de servicios que pueden ejecutarse mediante el mecanismo de Obras por Impuestos, conforme a la Quinta Disposición Complementaria Final del Decreto de Urgencia N° 010-2026, así como su contenido mínimo; que se encuentran detallados en los anexos que forman parte integrante de la presente resolución. Artículo 2.- Disponer que los servicios a los que se refiere en artículo precedente se ejecuten en zonas comprendidas en declaraciones de Estados de Emergencia por peligro inminente o para atención de acciones frente al Fenómeno El Niño 2026-2027, de conformidad con el numeral 1 del artículo 3 del Decreto de Urgencia N° 010-2026. Artículo 3.- Encargar a la Oficina…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4">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24">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25">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1BAF7A"/>
            </w:tcBorders>
          </w:tcPr>
          <w:p>
            <w:pPr>
              <w:spacing w:before="20" w:after="20" w:line="264" w:lineRule="auto"/>
            </w:pPr>
            <w:r>
              <w:rPr>
                <w:rFonts w:ascii="Arial" w:hAnsi="Arial" w:eastAsia="Arial"/>
                <w:b/>
                <w:i w:val="0"/>
                <w:color w:val="0A2F5C"/>
                <w:sz w:val="19"/>
              </w:rPr>
              <w:t>5.  RESOLUCIÓN MINISTERIAL N° 544-2026-MINEDU</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EDUCACIÓN</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09/09/2026 · Edición extraordinaria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Inversiones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Aprueban la Relación de Servicios que pueden ejecutarse mediante el mecanismo de Obras por Impuestos en el marco del Decreto de Urgencia N° 010-2026 para atender el Fenómeno El Niño y su contenido mínimo</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Aprobar la “Relación de Servicios que pueden ejecutarse mediante el mecanismo de Obras por Impuestos en el marco del Decreto de Urgencia N° 010-2026 para atender el Fenómeno El Niño” y su contenido mínimo, para su financiamiento y ejecución en el marco del Decreto de Urgencia N° 010-2026, la Ley N° 29230 y su Reglamento, la misma que como Anexo forma parte integrante de la presente resolución y que incluye los Servicios aprobados con Resolución Ministerial N° 250-2026-MINEDU. Artículo 2.- Remitir la presente resolución a la Agencia de Promoción de la Inversión Privada (Proinversión). Artículo 3.- Disponer la publicación de la presente resolución en el Sistema de Información…</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5">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26">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27">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1BAF7A"/>
            </w:tcBorders>
          </w:tcPr>
          <w:p>
            <w:pPr>
              <w:spacing w:before="20" w:after="20" w:line="264" w:lineRule="auto"/>
            </w:pPr>
            <w:r>
              <w:rPr>
                <w:rFonts w:ascii="Arial" w:hAnsi="Arial" w:eastAsia="Arial"/>
                <w:b/>
                <w:i w:val="0"/>
                <w:color w:val="0A2F5C"/>
                <w:sz w:val="19"/>
              </w:rPr>
              <w:t>6.  RESOLUCIÓN  N° 000109-2026-CD/OSIPTEL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ORGANISMO SUPERVISOR DE INVERSIÓN PRIVADA EN TELECOMUNICACIONES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09/09/2026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Inversiones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Aprueban el Mandato de Compartición de Infraestructura entre la empresa Red en Telecomunicaciones del Sur S.C.R.L. y la empresa Sociedad Eléctrica del Sur Oeste S.A.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Aprobar el Mandato de Compartición de Infraestructura entre la empresa Red en Telecomunicaciones del Sur S.C.R.L. y la empresa Sociedad Eléctrica del Sur Oeste S.A., contenido en el Anexo del Informe N° 174-2026-DPRC/OSIPTEL. Artículo 2.- El Mandato de Compartición de Infraestructura aprobado mediante la presente resolución entra en vigor al día siguiente de la publicación en el D iario O ficial El Peruano. Artículo 3.- Encargar a la Oficina de Administración y Finanzas la debida notificación de la presente Resolución, juntamente con el Informe N° 174-2026-DPRC/OSIPTEL, a las empresas Red en Telecomunicaciones del Sur S.C.R.L. y Sociedad Eléctrica del Sur Oeste S.A. Artículo…</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6">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28">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29">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1BAF7A"/>
            </w:tcBorders>
          </w:tcPr>
          <w:p>
            <w:pPr>
              <w:spacing w:before="20" w:after="20" w:line="264" w:lineRule="auto"/>
            </w:pPr>
            <w:r>
              <w:rPr>
                <w:rFonts w:ascii="Arial" w:hAnsi="Arial" w:eastAsia="Arial"/>
                <w:b/>
                <w:i w:val="0"/>
                <w:color w:val="0A2F5C"/>
                <w:sz w:val="19"/>
              </w:rPr>
              <w:t>7.  RESOLUCIÓN MINISTERIAL N° 808-2026/MINSA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SALUD</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09/09/2026 · Edición extraordinaria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Inversiones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Aprueban Relación de Servicios que pueden ejecutarse mediante el mecanismo de Obras por Impuestos en el marco de lo dispuesto en el numeral 4.2 del artículo 4 y la Quinta Disposición Complementaria Final del Decreto de Urgencia N° 010-2026</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Aprobar la Relación de Servicios que pueden ejecutarse mediante el mecanismo de Obras por Impuestos, en el marco de lo dispuesto en el numeral 4.2 del artículo 4 y la Quinta Disposición Complementaria Final del Decreto de Urgencia N° 010-2026, que como anexo forman parte integrante de la presente Resolución Ministerial. Artículo 2.- Remitir la presente Resolución Ministerial y su anexo a la Agencia de Promoción de la Inversión Privada (PROINVERSIÓN). Artículo 3.- Encargar a la Oficina de Transparencia y Anticorrupción de la Secretaría General la publicación de la presente Resolución Ministerial y su anexo en la sede digital del Ministerio de Salud (www.gob.pe/minsa), en la…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7">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30">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31">
              <w:r>
                <w:rPr>
                  <w:rFonts w:ascii="Arial" w:hAnsi="Arial" w:eastAsia="Arial" w:cs="Arial"/>
                  <w:color w:val="0B5CAD"/>
                  <w:sz w:val="17"/>
                  <w:u w:val="single"/>
                </w:rPr>
                <w:t xml:space="preserve">PDF</w:t>
              </w:r>
            </w:hyperlink>
          </w:p>
        </w:tc>
      </w:tr>
    </w:tbl>
    <w:p>
      <w:pPr>
        <w:spacing w:before="0" w:after="120" w:line="276" w:lineRule="auto"/>
      </w:pPr>
    </w:p>
    <w:p>
      <w:pPr>
        <w:spacing w:before="200" w:after="0" w:line="276" w:lineRule="auto"/>
        <w:jc w:val="both"/>
        <w:pBdr>
          <w:top w:val="single" w:sz="4" w:space="4" w:color="C9D2DF"/>
        </w:pBdr>
      </w:pPr>
      <w:r>
        <w:rPr>
          <w:rFonts w:ascii="Arial" w:hAnsi="Arial" w:eastAsia="Arial"/>
          <w:b/>
          <w:i w:val="0"/>
          <w:color w:val="5B6880"/>
          <w:sz w:val="15"/>
        </w:rPr>
        <w:t xml:space="preserve">Nota metodológica: </w:t>
      </w:r>
      <w:r>
        <w:rPr>
          <w:rFonts w:ascii="Arial" w:hAnsi="Arial" w:eastAsia="Arial"/>
          <w:b w:val="0"/>
          <w:i w:val="0"/>
          <w:color w:val="5B6880"/>
          <w:sz w:val="15"/>
        </w:rPr>
        <w:t xml:space="preserve">se revisan todas las normas publicadas en el Diario Oficial El Peruano en el periodo. Una norma se selecciona cuando su entidad, título o sumilla contiene alguno de los términos definidos para cada tema, o cuando su texto completo menciona a la ATU. Los criterios pueden consultarse y editarse en el panel: </w:t>
      </w:r>
      <w:hyperlink r:id="rId32">
        <w:r>
          <w:rPr>
            <w:rFonts w:ascii="Arial" w:hAnsi="Arial" w:eastAsia="Arial" w:cs="Arial"/>
            <w:color w:val="0B5CAD"/>
            <w:sz w:val="15"/>
            <w:u w:val="single"/>
          </w:rPr>
          <w:t xml:space="preserve">reneearmasr.github.io/monitor-normas-elperuano</w:t>
        </w:r>
      </w:hyperlink>
    </w:p>
    <w:sectPr w:rsidR="00FC693F" w:rsidRPr="0006063C" w:rsidSect="00034616">
      <w:headerReference w:type="default" r:id="rId9"/>
      <w:footerReference w:type="default" r:id="rId10"/>
      <w:pgSz w:w="11906" w:h="16838"/>
      <w:pgMar w:top="1361"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411" w:val="right"/>
      </w:tabs>
      <w:pBdr>
        <w:top w:val="single" w:sz="6" w:space="4" w:color="C9D2DF"/>
      </w:pBdr>
    </w:pPr>
    <w:r>
      <w:rPr>
        <w:rFonts w:ascii="Arial" w:hAnsi="Arial" w:eastAsia="Arial"/>
        <w:b w:val="0"/>
        <w:i w:val="0"/>
        <w:color w:val="5B6880"/>
        <w:sz w:val="15"/>
      </w:rPr>
      <w:t>Fuente: Diario Oficial El Peruano · Elaboración automática</w:t>
    </w:r>
    <w:r>
      <w:rPr>
        <w:rFonts w:ascii="Arial" w:hAnsi="Arial" w:eastAsia="Arial"/>
        <w:b w:val="0"/>
        <w:i w:val="0"/>
        <w:color w:val="5B6880"/>
        <w:sz w:val="15"/>
      </w:rPr>
      <w:tab/>
      <w:t xml:space="preserve">Página </w:t>
    </w:r>
    <w:r>
      <w:rPr>
        <w:rFonts w:ascii="Arial" w:hAnsi="Arial" w:eastAsia="Arial"/>
        <w:b w:val="0"/>
        <w:i w:val="0"/>
        <w:color w:val="5B6880"/>
        <w:sz w:val="15"/>
      </w:rPr>
      <w:fldChar w:fldCharType="begin"/>
      <w:instrText xml:space="preserve"> PAGE </w:instrText>
      <w:fldChar w:fldCharType="separate"/>
      <w:t>1</w:t>
      <w:fldChar w:fldCharType="end"/>
    </w:r>
    <w:r>
      <w:rPr>
        <w:rFonts w:ascii="Arial" w:hAnsi="Arial" w:eastAsia="Arial"/>
        <w:b w:val="0"/>
        <w:i w:val="0"/>
        <w:color w:val="5B6880"/>
        <w:sz w:val="15"/>
      </w:rPr>
      <w:t xml:space="preserve"> de </w:t>
    </w:r>
    <w:r>
      <w:rPr>
        <w:rFonts w:ascii="Arial" w:hAnsi="Arial" w:eastAsia="Arial"/>
        <w:b w:val="0"/>
        <w:i w:val="0"/>
        <w:color w:val="5B6880"/>
        <w:sz w:val="15"/>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411" w:val="right"/>
      </w:tabs>
      <w:pBdr>
        <w:bottom w:val="single" w:sz="8" w:space="4" w:color="0A2F5C"/>
      </w:pBdr>
    </w:pPr>
    <w:r>
      <w:rPr>
        <w:rFonts w:ascii="Arial" w:hAnsi="Arial" w:eastAsia="Arial"/>
        <w:b/>
        <w:i w:val="0"/>
        <w:color w:val="0A2F5C"/>
        <w:sz w:val="15"/>
      </w:rPr>
      <w:t>AUTORIDAD DE TRANSPORTE URBANO PARA LIMA Y CALLAO</w:t>
    </w:r>
    <w:r>
      <w:rPr>
        <w:rFonts w:ascii="Arial" w:hAnsi="Arial" w:eastAsia="Arial"/>
        <w:b w:val="0"/>
        <w:i w:val="0"/>
        <w:color w:val="5B6880"/>
        <w:sz w:val="15"/>
      </w:rPr>
      <w:tab/>
      <w:t>Monitor de Normas Legales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usquedas.elperuano.pe/api/visor_html/2552919-1" TargetMode="External"/><Relationship Id="rId12" Type="http://schemas.openxmlformats.org/officeDocument/2006/relationships/hyperlink" Target="https://busquedas.elperuano.pe/api/visor_html/2552024-1" TargetMode="External"/><Relationship Id="rId13" Type="http://schemas.openxmlformats.org/officeDocument/2006/relationships/hyperlink" Target="https://busquedas.elperuano.pe/api/visor_html/2552032-1" TargetMode="External"/><Relationship Id="rId14" Type="http://schemas.openxmlformats.org/officeDocument/2006/relationships/hyperlink" Target="https://busquedas.elperuano.pe/api/visor_html/2552723-1" TargetMode="External"/><Relationship Id="rId15" Type="http://schemas.openxmlformats.org/officeDocument/2006/relationships/hyperlink" Target="https://busquedas.elperuano.pe/api/visor_html/2552922-1" TargetMode="External"/><Relationship Id="rId16" Type="http://schemas.openxmlformats.org/officeDocument/2006/relationships/hyperlink" Target="https://busquedas.elperuano.pe/api/visor_html/2551705-1" TargetMode="External"/><Relationship Id="rId17" Type="http://schemas.openxmlformats.org/officeDocument/2006/relationships/hyperlink" Target="https://busquedas.elperuano.pe/api/visor_html/2552923-1" TargetMode="External"/><Relationship Id="rId18" Type="http://schemas.openxmlformats.org/officeDocument/2006/relationships/hyperlink" Target="https://busquedas.elperuano.pe/dispositivo/EX/2552919-1" TargetMode="External"/><Relationship Id="rId19" Type="http://schemas.openxmlformats.org/officeDocument/2006/relationships/hyperlink" Target="https://busquedas.elperuano.pe/dispositivo/EX/2552919-1/pdf" TargetMode="External"/><Relationship Id="rId20" Type="http://schemas.openxmlformats.org/officeDocument/2006/relationships/hyperlink" Target="https://busquedas.elperuano.pe/dispositivo/NL/2552024-1" TargetMode="External"/><Relationship Id="rId21" Type="http://schemas.openxmlformats.org/officeDocument/2006/relationships/hyperlink" Target="https://busquedas.elperuano.pe/dispositivo/NL/2552024-1/pdf" TargetMode="External"/><Relationship Id="rId22" Type="http://schemas.openxmlformats.org/officeDocument/2006/relationships/hyperlink" Target="https://busquedas.elperuano.pe/dispositivo/NL/2552032-1" TargetMode="External"/><Relationship Id="rId23" Type="http://schemas.openxmlformats.org/officeDocument/2006/relationships/hyperlink" Target="https://busquedas.elperuano.pe/dispositivo/NL/2552032-1/pdf" TargetMode="External"/><Relationship Id="rId24" Type="http://schemas.openxmlformats.org/officeDocument/2006/relationships/hyperlink" Target="https://busquedas.elperuano.pe/dispositivo/EX/2552723-1" TargetMode="External"/><Relationship Id="rId25" Type="http://schemas.openxmlformats.org/officeDocument/2006/relationships/hyperlink" Target="https://busquedas.elperuano.pe/dispositivo/EX/2552723-1/pdf" TargetMode="External"/><Relationship Id="rId26" Type="http://schemas.openxmlformats.org/officeDocument/2006/relationships/hyperlink" Target="https://busquedas.elperuano.pe/dispositivo/EX/2552922-1" TargetMode="External"/><Relationship Id="rId27" Type="http://schemas.openxmlformats.org/officeDocument/2006/relationships/hyperlink" Target="https://busquedas.elperuano.pe/dispositivo/EX/2552922-1/pdf" TargetMode="External"/><Relationship Id="rId28" Type="http://schemas.openxmlformats.org/officeDocument/2006/relationships/hyperlink" Target="https://busquedas.elperuano.pe/dispositivo/NL/2551705-1" TargetMode="External"/><Relationship Id="rId29" Type="http://schemas.openxmlformats.org/officeDocument/2006/relationships/hyperlink" Target="https://busquedas.elperuano.pe/dispositivo/NL/2551705-1/pdf" TargetMode="External"/><Relationship Id="rId30" Type="http://schemas.openxmlformats.org/officeDocument/2006/relationships/hyperlink" Target="https://busquedas.elperuano.pe/dispositivo/EX/2552923-1" TargetMode="External"/><Relationship Id="rId31" Type="http://schemas.openxmlformats.org/officeDocument/2006/relationships/hyperlink" Target="https://busquedas.elperuano.pe/dispositivo/EX/2552923-1/pdf" TargetMode="External"/><Relationship Id="rId32" Type="http://schemas.openxmlformats.org/officeDocument/2006/relationships/hyperlink" Target="https://reneearmasr.github.io/monitor-normas-elperua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