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Viernes 11 de septiembre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11/09/2026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27/10/2026 11:00</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135</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4</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135 normas publicadas en el periodo, 4 resultan de interés institucional: 2 de normatividad presupuestal y 2 de inversiones. No se identificaron normas que involucren a la ATU. El Cuadro 1 presenta la relación completa y la sección 2, el detalle de cada norma.</w:t>
      </w: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EB6834"/>
            </w:tcBorders>
          </w:tcPr>
          <w:p>
            <w:pPr>
              <w:spacing w:before="20" w:after="20" w:line="264" w:lineRule="auto"/>
            </w:pPr>
            <w:r>
              <w:rPr>
                <w:rFonts w:ascii="Arial" w:hAnsi="Arial" w:eastAsia="Arial"/>
                <w:b/>
                <w:i w:val="0"/>
                <w:color w:val="0A2F5C"/>
                <w:sz w:val="17"/>
              </w:rPr>
              <w:t>NORMATIVIDAD PRESUPUESTAL  (2)</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RESOLUCIÓN ADMINISTRATIVA  N° 000224-2026-P-PJ</w:t>
              </w:r>
            </w:hyperlink>
          </w:p>
          <w:p>
            <w:pPr>
              <w:spacing w:before="0" w:after="20" w:line="252" w:lineRule="auto"/>
            </w:pPr>
            <w:r>
              <w:rPr>
                <w:rFonts w:ascii="Arial" w:hAnsi="Arial" w:eastAsia="Arial"/>
                <w:b w:val="0"/>
                <w:i w:val="0"/>
                <w:color w:val="5B6880"/>
                <w:sz w:val="15"/>
              </w:rPr>
              <w:t>CORTE SUPREMA DE JUSTICIA</w:t>
            </w:r>
          </w:p>
        </w:tc>
        <w:tc>
          <w:tcPr>
            <w:tcW w:type="dxa" w:w="4762"/>
          </w:tcPr>
          <w:p>
            <w:pPr>
              <w:spacing w:before="20" w:after="20" w:line="264" w:lineRule="auto"/>
            </w:pPr>
            <w:r>
              <w:rPr>
                <w:rFonts w:ascii="Arial" w:hAnsi="Arial" w:eastAsia="Arial"/>
                <w:b w:val="0"/>
                <w:i w:val="0"/>
                <w:sz w:val="17"/>
              </w:rPr>
              <w:t>Autorizan Transferencia Financiera del Poder Judicial a favor de la Contraloría General de la República</w:t>
            </w:r>
          </w:p>
        </w:tc>
        <w:tc>
          <w:tcPr>
            <w:tcW w:type="dxa" w:w="1247"/>
          </w:tcPr>
          <w:p>
            <w:pPr>
              <w:spacing w:before="20" w:after="20" w:line="264" w:lineRule="auto"/>
              <w:jc w:val="center"/>
            </w:pPr>
            <w:r>
              <w:rPr>
                <w:rFonts w:ascii="Arial" w:hAnsi="Arial" w:eastAsia="Arial"/>
                <w:b w:val="0"/>
                <w:i w:val="0"/>
                <w:sz w:val="17"/>
              </w:rPr>
              <w:t>11/09/2026</w:t>
            </w:r>
          </w:p>
        </w:tc>
      </w:tr>
      <w:tr>
        <w:trPr>
          <w:cantSplit/>
        </w:trPr>
        <w:tc>
          <w:tcPr>
            <w:tcW w:type="dxa" w:w="567"/>
          </w:tcPr>
          <w:p>
            <w:pPr>
              <w:spacing w:before="20" w:after="20" w:line="264" w:lineRule="auto"/>
              <w:jc w:val="center"/>
            </w:pPr>
            <w:r>
              <w:rPr>
                <w:rFonts w:ascii="Arial" w:hAnsi="Arial" w:eastAsia="Arial"/>
                <w:b/>
                <w:i w:val="0"/>
                <w:color w:val="0A2F5C"/>
                <w:sz w:val="18"/>
              </w:rPr>
              <w:t>2</w:t>
            </w:r>
          </w:p>
        </w:tc>
        <w:tc>
          <w:tcPr>
            <w:tcW w:type="dxa" w:w="2835"/>
          </w:tcPr>
          <w:p>
            <w:pPr>
              <w:spacing w:before="20" w:after="20" w:line="264" w:lineRule="auto"/>
            </w:pPr>
            <w:hyperlink r:id="rId12">
              <w:r>
                <w:rPr>
                  <w:rFonts w:ascii="Arial" w:hAnsi="Arial" w:eastAsia="Arial" w:cs="Arial"/>
                  <w:b/>
                  <w:color w:val="0B5CAD"/>
                  <w:sz w:val="17"/>
                  <w:u w:val="single"/>
                </w:rPr>
                <w:t xml:space="preserve">RESOLUCIÓN  N° 000118-2026-OTASS-PE</w:t>
              </w:r>
            </w:hyperlink>
          </w:p>
          <w:p>
            <w:pPr>
              <w:spacing w:before="0" w:after="20" w:line="252" w:lineRule="auto"/>
            </w:pPr>
            <w:r>
              <w:rPr>
                <w:rFonts w:ascii="Arial" w:hAnsi="Arial" w:eastAsia="Arial"/>
                <w:b w:val="0"/>
                <w:i w:val="0"/>
                <w:color w:val="5B6880"/>
                <w:sz w:val="15"/>
              </w:rPr>
              <w:t>ORGANISMO TÉCNICO DE LA ADMINISTRACIÓN DE LOS SERVICIOS DE SANEAMIENTO</w:t>
            </w:r>
          </w:p>
        </w:tc>
        <w:tc>
          <w:tcPr>
            <w:tcW w:type="dxa" w:w="4762"/>
          </w:tcPr>
          <w:p>
            <w:pPr>
              <w:spacing w:before="20" w:after="20" w:line="264" w:lineRule="auto"/>
            </w:pPr>
            <w:r>
              <w:rPr>
                <w:rFonts w:ascii="Arial" w:hAnsi="Arial" w:eastAsia="Arial"/>
                <w:b w:val="0"/>
                <w:i w:val="0"/>
                <w:sz w:val="17"/>
              </w:rPr>
              <w:t>Delegan facultades en diversos funcionarios del OTASS durante el ejercicio presupuestal 2026</w:t>
            </w:r>
          </w:p>
        </w:tc>
        <w:tc>
          <w:tcPr>
            <w:tcW w:type="dxa" w:w="1247"/>
          </w:tcPr>
          <w:p>
            <w:pPr>
              <w:spacing w:before="20" w:after="20" w:line="264" w:lineRule="auto"/>
              <w:jc w:val="center"/>
            </w:pPr>
            <w:r>
              <w:rPr>
                <w:rFonts w:ascii="Arial" w:hAnsi="Arial" w:eastAsia="Arial"/>
                <w:b w:val="0"/>
                <w:i w:val="0"/>
                <w:sz w:val="17"/>
              </w:rPr>
              <w:t>11/09/2026</w:t>
            </w:r>
          </w:p>
        </w:tc>
      </w:tr>
      <w:tr>
        <w:trPr>
          <w:cantSplit/>
        </w:trPr>
        <w:tc>
          <w:tcPr>
            <w:tcW w:type="dxa" w:w="1247"/>
            <w:gridSpan w:val="4"/>
            <w:shd w:val="clear" w:color="auto" w:fill="F2F5FA"/>
            <w:tcBorders>
              <w:left w:val="single" w:sz="30" w:space="0" w:color="1BAF7A"/>
            </w:tcBorders>
          </w:tcPr>
          <w:p>
            <w:pPr>
              <w:spacing w:before="20" w:after="20" w:line="264" w:lineRule="auto"/>
            </w:pPr>
            <w:r>
              <w:rPr>
                <w:rFonts w:ascii="Arial" w:hAnsi="Arial" w:eastAsia="Arial"/>
                <w:b/>
                <w:i w:val="0"/>
                <w:color w:val="0A2F5C"/>
                <w:sz w:val="17"/>
              </w:rPr>
              <w:t>INVERSIONES  (2)</w:t>
            </w:r>
          </w:p>
        </w:tc>
      </w:tr>
      <w:tr>
        <w:trPr>
          <w:cantSplit/>
        </w:trPr>
        <w:tc>
          <w:tcPr>
            <w:tcW w:type="dxa" w:w="567"/>
          </w:tcPr>
          <w:p>
            <w:pPr>
              <w:spacing w:before="20" w:after="20" w:line="264" w:lineRule="auto"/>
              <w:jc w:val="center"/>
            </w:pPr>
            <w:r>
              <w:rPr>
                <w:rFonts w:ascii="Arial" w:hAnsi="Arial" w:eastAsia="Arial"/>
                <w:b/>
                <w:i w:val="0"/>
                <w:color w:val="0A2F5C"/>
                <w:sz w:val="18"/>
              </w:rPr>
              <w:t>3</w:t>
            </w:r>
          </w:p>
        </w:tc>
        <w:tc>
          <w:tcPr>
            <w:tcW w:type="dxa" w:w="2835"/>
          </w:tcPr>
          <w:p>
            <w:pPr>
              <w:spacing w:before="20" w:after="20" w:line="264" w:lineRule="auto"/>
            </w:pPr>
            <w:hyperlink r:id="rId13">
              <w:r>
                <w:rPr>
                  <w:rFonts w:ascii="Arial" w:hAnsi="Arial" w:eastAsia="Arial" w:cs="Arial"/>
                  <w:b/>
                  <w:color w:val="0B5CAD"/>
                  <w:sz w:val="17"/>
                  <w:u w:val="single"/>
                </w:rPr>
                <w:t xml:space="preserve">RESOLUCIÓN MINISTERIAL  N° D000295-2026-MINAM</w:t>
              </w:r>
            </w:hyperlink>
          </w:p>
          <w:p>
            <w:pPr>
              <w:spacing w:before="0" w:after="20" w:line="252" w:lineRule="auto"/>
            </w:pPr>
            <w:r>
              <w:rPr>
                <w:rFonts w:ascii="Arial" w:hAnsi="Arial" w:eastAsia="Arial"/>
                <w:b w:val="0"/>
                <w:i w:val="0"/>
                <w:color w:val="5B6880"/>
                <w:sz w:val="15"/>
              </w:rPr>
              <w:t>AMBIENTE</w:t>
            </w:r>
          </w:p>
        </w:tc>
        <w:tc>
          <w:tcPr>
            <w:tcW w:type="dxa" w:w="4762"/>
          </w:tcPr>
          <w:p>
            <w:pPr>
              <w:spacing w:before="20" w:after="20" w:line="264" w:lineRule="auto"/>
            </w:pPr>
            <w:r>
              <w:rPr>
                <w:rFonts w:ascii="Arial" w:hAnsi="Arial" w:eastAsia="Arial"/>
                <w:b w:val="0"/>
                <w:i w:val="0"/>
                <w:sz w:val="17"/>
              </w:rPr>
              <w:t>Aprueban Relación de Servicios del Sector Ambiente susceptibles de ser ejecutados bajo el régimen excepcional del mecanismo de Obras por Impuestos y sus contenidos mínimos</w:t>
            </w:r>
          </w:p>
        </w:tc>
        <w:tc>
          <w:tcPr>
            <w:tcW w:type="dxa" w:w="1247"/>
          </w:tcPr>
          <w:p>
            <w:pPr>
              <w:spacing w:before="20" w:after="20" w:line="264" w:lineRule="auto"/>
              <w:jc w:val="center"/>
            </w:pPr>
            <w:r>
              <w:rPr>
                <w:rFonts w:ascii="Arial" w:hAnsi="Arial" w:eastAsia="Arial"/>
                <w:b w:val="0"/>
                <w:i w:val="0"/>
                <w:sz w:val="17"/>
              </w:rPr>
              <w:t>11/09/2026</w:t>
            </w:r>
          </w:p>
        </w:tc>
      </w:tr>
      <w:tr>
        <w:trPr>
          <w:cantSplit/>
        </w:trPr>
        <w:tc>
          <w:tcPr>
            <w:tcW w:type="dxa" w:w="567"/>
          </w:tcPr>
          <w:p>
            <w:pPr>
              <w:spacing w:before="20" w:after="20" w:line="264" w:lineRule="auto"/>
              <w:jc w:val="center"/>
            </w:pPr>
            <w:r>
              <w:rPr>
                <w:rFonts w:ascii="Arial" w:hAnsi="Arial" w:eastAsia="Arial"/>
                <w:b/>
                <w:i w:val="0"/>
                <w:color w:val="0A2F5C"/>
                <w:sz w:val="18"/>
              </w:rPr>
              <w:t>4</w:t>
            </w:r>
          </w:p>
        </w:tc>
        <w:tc>
          <w:tcPr>
            <w:tcW w:type="dxa" w:w="2835"/>
          </w:tcPr>
          <w:p>
            <w:pPr>
              <w:spacing w:before="20" w:after="20" w:line="264" w:lineRule="auto"/>
            </w:pPr>
            <w:hyperlink r:id="rId14">
              <w:r>
                <w:rPr>
                  <w:rFonts w:ascii="Arial" w:hAnsi="Arial" w:eastAsia="Arial" w:cs="Arial"/>
                  <w:b/>
                  <w:color w:val="0B5CAD"/>
                  <w:sz w:val="17"/>
                  <w:u w:val="single"/>
                </w:rPr>
                <w:t xml:space="preserve">RESOLUCIÓN MINISTERIAL  N° 00319-2026-PRODUCE</w:t>
              </w:r>
            </w:hyperlink>
          </w:p>
          <w:p>
            <w:pPr>
              <w:spacing w:before="0" w:after="20" w:line="252" w:lineRule="auto"/>
            </w:pPr>
            <w:r>
              <w:rPr>
                <w:rFonts w:ascii="Arial" w:hAnsi="Arial" w:eastAsia="Arial"/>
                <w:b w:val="0"/>
                <w:i w:val="0"/>
                <w:color w:val="5B6880"/>
                <w:sz w:val="15"/>
              </w:rPr>
              <w:t>PRODUCE</w:t>
            </w:r>
          </w:p>
        </w:tc>
        <w:tc>
          <w:tcPr>
            <w:tcW w:type="dxa" w:w="4762"/>
          </w:tcPr>
          <w:p>
            <w:pPr>
              <w:spacing w:before="20" w:after="20" w:line="264" w:lineRule="auto"/>
            </w:pPr>
            <w:r>
              <w:rPr>
                <w:rFonts w:ascii="Arial" w:hAnsi="Arial" w:eastAsia="Arial"/>
                <w:b w:val="0"/>
                <w:i w:val="0"/>
                <w:sz w:val="17"/>
              </w:rPr>
              <w:t>Aprueban la Relación de Servicios del Sector Producción para la atención del Fenómeno El Niño 2026-2027 a ser ejecutados mediante el mecanismo de Obras por Impuestos</w:t>
            </w:r>
          </w:p>
        </w:tc>
        <w:tc>
          <w:tcPr>
            <w:tcW w:type="dxa" w:w="1247"/>
          </w:tcPr>
          <w:p>
            <w:pPr>
              <w:spacing w:before="20" w:after="20" w:line="264" w:lineRule="auto"/>
              <w:jc w:val="center"/>
            </w:pPr>
            <w:r>
              <w:rPr>
                <w:rFonts w:ascii="Arial" w:hAnsi="Arial" w:eastAsia="Arial"/>
                <w:b w:val="0"/>
                <w:i w:val="0"/>
                <w:sz w:val="17"/>
              </w:rPr>
              <w:t>11/09/2026</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Normatividad presupuestal</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1.  RESOLUCIÓN ADMINISTRATIVA  N° 000224-2026-P-PJ</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CORTE SUPREMA DE JUSTICIA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11/09/2026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Autorizan Transferencia Financiera del Poder Judicial a favor de la Contraloría General de la República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Autorización de Transferencia Financiera Autorizar la Transferencia Financiera del Pliego 004 Poder Judicial, con cargo al Presupuesto Institucional 2026, hasta por la suma de S/ 169 512,00 (CIENTO SESENTA Y NUEVE MIL QUINIENTOS DOCE Y 00/100 SOLES), a favor de la Contraloría General de la República, para financiar la retribución económica y el pago del derecho de designación de la Sociedad de Auditoría que efectuará la Auditoría Financiera Gubernamental correspondiente a los periodos 2024, 2025 y 2026, en el marco del Acuerdo entre la República del Perú, la Confederación Suiza y el Gran Ducado de Luxemburgo, de acuerdo al siguiente detalle: PLIEGO : 004 PODER JUDICIAL UNIDAD…</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169 512,00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5">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6">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2.  RESOLUCIÓN  N° 000118-2026-OTASS-PE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ORGANISMO TÉCNICO DE LA ADMINISTRACIÓN DE LOS SERVICIOS DE SANEAMIENTO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11/09/2026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Delegan facultades en diversos funcionarios del OTASS durante el ejercicio presupuestal 2026</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7">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8">
              <w:r>
                <w:rPr>
                  <w:rFonts w:ascii="Arial" w:hAnsi="Arial" w:eastAsia="Arial" w:cs="Arial"/>
                  <w:color w:val="0B5CAD"/>
                  <w:sz w:val="17"/>
                  <w:u w:val="single"/>
                </w:rPr>
                <w:t xml:space="preserve">PDF</w:t>
              </w:r>
            </w:hyperlink>
          </w:p>
        </w:tc>
      </w:tr>
    </w:tbl>
    <w:p>
      <w:pPr>
        <w:spacing w:before="0" w:after="120" w:line="276" w:lineRule="auto"/>
      </w:pPr>
    </w:p>
    <w:p>
      <w:pPr>
        <w:keepNext/>
        <w:spacing w:before="160" w:after="80" w:line="276" w:lineRule="auto"/>
      </w:pPr>
      <w:r>
        <w:rPr>
          <w:rFonts w:ascii="Arial" w:hAnsi="Arial" w:eastAsia="Arial"/>
          <w:b/>
          <w:i w:val="0"/>
          <w:color w:val="0B5CAD"/>
          <w:sz w:val="21"/>
        </w:rPr>
        <w:t>2.2  Inversiones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3.  RESOLUCIÓN MINISTERIAL  N° D000295-2026-MINAM</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AMBIENTE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11/09/2026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Relación de Servicios del Sector Ambiente susceptibles de ser ejecutados bajo el régimen excepcional del mecanismo de Obras por Impuestos y sus contenidos mínimos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Aprobación de la Relación de Servicios del Sector Ambiente Aprobar la Relación de Servicios del Sector Ambiente susceptibles de ser ejecutados bajo el régimen excepcional del mecanismo de Obras por Impuestos en el marco del Decreto de Urgencia Nº 010-2026, conforme se detalla a continuación. Código Relación de Servicios del Sector Ambiente susceptibles de ser ejecutados bajo el régimen excepcional del mecanismo de Obras por Impuestos en el marco del Decreto de Urgencia Nº 010-2026 S.1 Servicio extraordinario de barrido y limpieza de espacios públicos afectados por el Fenómeno El Niño. S.2 Servicio temporal de protección de ecosistemas de bosques ribereños frente a inundaciones…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3">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9">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0">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4.  RESOLUCIÓN MINISTERIAL  N° 00319-2026-PRODUCE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PRODUCE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11/09/2026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la Relación de Servicios del Sector Producción para la atención del Fenómeno El Niño 2026-2027 a ser ejecutados mediante el mecanismo de Obras por Impuestos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Aprobación de la relación de servicios a ser ejecutados mediante el mecanismo de Obras por Impuestos Aprobar la “Relación de Servicios del Sector Producción para la atención del Fenómeno El Niño 2026-2027 a ser ejecutados mediante el mecanismo de Obras por Impuestos”, que como Anexo forma parte integrante de la presente Resolución Ministerial. Artículo 2.- Notificación Remitir copia de la presente Resolución Ministerial a la Agencia de Promoción de la Inversión Privada - PROINVERSIÓN. Artículo 3.- Publicación Publicar la presente Resolución Ministerial y su Anexo en la sede digital del Ministerio de la Producción ( www.gob.pe/produce ) y en el diario oficial El Peruano.…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4">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1">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2">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23">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53253-1" TargetMode="External"/><Relationship Id="rId12" Type="http://schemas.openxmlformats.org/officeDocument/2006/relationships/hyperlink" Target="https://busquedas.elperuano.pe/api/visor_html/2553235-1" TargetMode="External"/><Relationship Id="rId13" Type="http://schemas.openxmlformats.org/officeDocument/2006/relationships/hyperlink" Target="https://busquedas.elperuano.pe/api/visor_html/2552994-1" TargetMode="External"/><Relationship Id="rId14" Type="http://schemas.openxmlformats.org/officeDocument/2006/relationships/hyperlink" Target="https://busquedas.elperuano.pe/api/visor_html/2553062-1" TargetMode="External"/><Relationship Id="rId15" Type="http://schemas.openxmlformats.org/officeDocument/2006/relationships/hyperlink" Target="https://busquedas.elperuano.pe/dispositivo/NL/2553253-1" TargetMode="External"/><Relationship Id="rId16" Type="http://schemas.openxmlformats.org/officeDocument/2006/relationships/hyperlink" Target="https://busquedas.elperuano.pe/dispositivo/NL/2553253-1/pdf" TargetMode="External"/><Relationship Id="rId17" Type="http://schemas.openxmlformats.org/officeDocument/2006/relationships/hyperlink" Target="https://busquedas.elperuano.pe/dispositivo/NL/2553235-1" TargetMode="External"/><Relationship Id="rId18" Type="http://schemas.openxmlformats.org/officeDocument/2006/relationships/hyperlink" Target="https://busquedas.elperuano.pe/dispositivo/NL/2553235-1/pdf" TargetMode="External"/><Relationship Id="rId19" Type="http://schemas.openxmlformats.org/officeDocument/2006/relationships/hyperlink" Target="https://busquedas.elperuano.pe/dispositivo/NL/2552994-1" TargetMode="External"/><Relationship Id="rId20" Type="http://schemas.openxmlformats.org/officeDocument/2006/relationships/hyperlink" Target="https://busquedas.elperuano.pe/dispositivo/NL/2552994-1/pdf" TargetMode="External"/><Relationship Id="rId21" Type="http://schemas.openxmlformats.org/officeDocument/2006/relationships/hyperlink" Target="https://busquedas.elperuano.pe/dispositivo/NL/2553062-1" TargetMode="External"/><Relationship Id="rId22" Type="http://schemas.openxmlformats.org/officeDocument/2006/relationships/hyperlink" Target="https://busquedas.elperuano.pe/dispositivo/NL/2553062-1/pdf" TargetMode="External"/><Relationship Id="rId23"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