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Sábado 19 de septiembre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19/09/2026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27/10/2026 11:02</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109</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4</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109 normas publicadas en el periodo, 4 resultan de interés institucional: 3 de normatividad presupuestal y 1 de inversiones. No se identificaron normas que involucren a la ATU. El Cuadro 1 presenta la relación completa y la sección 2, el detalle de cada norma.</w:t>
      </w: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EB6834"/>
            </w:tcBorders>
          </w:tcPr>
          <w:p>
            <w:pPr>
              <w:spacing w:before="20" w:after="20" w:line="264" w:lineRule="auto"/>
            </w:pPr>
            <w:r>
              <w:rPr>
                <w:rFonts w:ascii="Arial" w:hAnsi="Arial" w:eastAsia="Arial"/>
                <w:b/>
                <w:i w:val="0"/>
                <w:color w:val="0A2F5C"/>
                <w:sz w:val="17"/>
              </w:rPr>
              <w:t>NORMATIVIDAD PRESUPUESTAL  (3)</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DECRETO SUPREMO  N° 195-2026-EF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del Ministerio de Educación</w:t>
            </w:r>
          </w:p>
        </w:tc>
        <w:tc>
          <w:tcPr>
            <w:tcW w:type="dxa" w:w="1247"/>
          </w:tcPr>
          <w:p>
            <w:pPr>
              <w:spacing w:before="20" w:after="20" w:line="264" w:lineRule="auto"/>
              <w:jc w:val="center"/>
            </w:pPr>
            <w:r>
              <w:rPr>
                <w:rFonts w:ascii="Arial" w:hAnsi="Arial" w:eastAsia="Arial"/>
                <w:b w:val="0"/>
                <w:i w:val="0"/>
                <w:sz w:val="17"/>
              </w:rPr>
              <w:t>19/09/2026</w:t>
            </w:r>
          </w:p>
        </w:tc>
      </w:tr>
      <w:tr>
        <w:trPr>
          <w:cantSplit/>
        </w:trPr>
        <w:tc>
          <w:tcPr>
            <w:tcW w:type="dxa" w:w="567"/>
          </w:tcPr>
          <w:p>
            <w:pPr>
              <w:spacing w:before="20" w:after="20" w:line="264" w:lineRule="auto"/>
              <w:jc w:val="center"/>
            </w:pPr>
            <w:r>
              <w:rPr>
                <w:rFonts w:ascii="Arial" w:hAnsi="Arial" w:eastAsia="Arial"/>
                <w:b/>
                <w:i w:val="0"/>
                <w:color w:val="0A2F5C"/>
                <w:sz w:val="18"/>
              </w:rPr>
              <w:t>2</w:t>
            </w:r>
          </w:p>
        </w:tc>
        <w:tc>
          <w:tcPr>
            <w:tcW w:type="dxa" w:w="2835"/>
          </w:tcPr>
          <w:p>
            <w:pPr>
              <w:spacing w:before="20" w:after="20" w:line="264" w:lineRule="auto"/>
            </w:pPr>
            <w:hyperlink r:id="rId12">
              <w:r>
                <w:rPr>
                  <w:rFonts w:ascii="Arial" w:hAnsi="Arial" w:eastAsia="Arial" w:cs="Arial"/>
                  <w:b/>
                  <w:color w:val="0B5CAD"/>
                  <w:sz w:val="17"/>
                  <w:u w:val="single"/>
                </w:rPr>
                <w:t xml:space="preserve">DECRETO SUPREMO  N° 194-2026-EF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 la Reserva de Contingencia</w:t>
            </w:r>
          </w:p>
        </w:tc>
        <w:tc>
          <w:tcPr>
            <w:tcW w:type="dxa" w:w="1247"/>
          </w:tcPr>
          <w:p>
            <w:pPr>
              <w:spacing w:before="20" w:after="20" w:line="264" w:lineRule="auto"/>
              <w:jc w:val="center"/>
            </w:pPr>
            <w:r>
              <w:rPr>
                <w:rFonts w:ascii="Arial" w:hAnsi="Arial" w:eastAsia="Arial"/>
                <w:b w:val="0"/>
                <w:i w:val="0"/>
                <w:sz w:val="17"/>
              </w:rPr>
              <w:t>19/09/2026</w:t>
            </w:r>
          </w:p>
        </w:tc>
      </w:tr>
      <w:tr>
        <w:trPr>
          <w:cantSplit/>
        </w:trPr>
        <w:tc>
          <w:tcPr>
            <w:tcW w:type="dxa" w:w="567"/>
          </w:tcPr>
          <w:p>
            <w:pPr>
              <w:spacing w:before="20" w:after="20" w:line="264" w:lineRule="auto"/>
              <w:jc w:val="center"/>
            </w:pPr>
            <w:r>
              <w:rPr>
                <w:rFonts w:ascii="Arial" w:hAnsi="Arial" w:eastAsia="Arial"/>
                <w:b/>
                <w:i w:val="0"/>
                <w:color w:val="0A2F5C"/>
                <w:sz w:val="18"/>
              </w:rPr>
              <w:t>3</w:t>
            </w:r>
          </w:p>
        </w:tc>
        <w:tc>
          <w:tcPr>
            <w:tcW w:type="dxa" w:w="2835"/>
          </w:tcPr>
          <w:p>
            <w:pPr>
              <w:spacing w:before="20" w:after="20" w:line="264" w:lineRule="auto"/>
            </w:pPr>
            <w:hyperlink r:id="rId13">
              <w:r>
                <w:rPr>
                  <w:rFonts w:ascii="Arial" w:hAnsi="Arial" w:eastAsia="Arial" w:cs="Arial"/>
                  <w:b/>
                  <w:color w:val="0B5CAD"/>
                  <w:sz w:val="17"/>
                  <w:u w:val="single"/>
                </w:rPr>
                <w:t xml:space="preserve">ACUERDO  N° 150-2026-GRA/CR-SO.</w:t>
              </w:r>
            </w:hyperlink>
          </w:p>
          <w:p>
            <w:pPr>
              <w:spacing w:before="0" w:after="20" w:line="252" w:lineRule="auto"/>
            </w:pPr>
            <w:r>
              <w:rPr>
                <w:rFonts w:ascii="Arial" w:hAnsi="Arial" w:eastAsia="Arial"/>
                <w:b w:val="0"/>
                <w:i w:val="0"/>
                <w:color w:val="5B6880"/>
                <w:sz w:val="15"/>
              </w:rPr>
              <w:t>GOBIERNO REGIONAL DE AMAZONAS</w:t>
            </w:r>
          </w:p>
        </w:tc>
        <w:tc>
          <w:tcPr>
            <w:tcW w:type="dxa" w:w="4762"/>
          </w:tcPr>
          <w:p>
            <w:pPr>
              <w:spacing w:before="20" w:after="20" w:line="264" w:lineRule="auto"/>
            </w:pPr>
            <w:r>
              <w:rPr>
                <w:rFonts w:ascii="Arial" w:hAnsi="Arial" w:eastAsia="Arial"/>
                <w:b w:val="0"/>
                <w:i w:val="0"/>
                <w:sz w:val="17"/>
              </w:rPr>
              <w:t>Aprueban reducción del Marco Presupuestal en la Fuente de Financiamiento Recursos Directamente Recaudados de la Unidades Ejecutoras del Gobierno Regional Amazonas</w:t>
            </w:r>
          </w:p>
        </w:tc>
        <w:tc>
          <w:tcPr>
            <w:tcW w:type="dxa" w:w="1247"/>
          </w:tcPr>
          <w:p>
            <w:pPr>
              <w:spacing w:before="20" w:after="20" w:line="264" w:lineRule="auto"/>
              <w:jc w:val="center"/>
            </w:pPr>
            <w:r>
              <w:rPr>
                <w:rFonts w:ascii="Arial" w:hAnsi="Arial" w:eastAsia="Arial"/>
                <w:b w:val="0"/>
                <w:i w:val="0"/>
                <w:sz w:val="17"/>
              </w:rPr>
              <w:t>19/09/2026</w:t>
            </w:r>
          </w:p>
        </w:tc>
      </w:tr>
      <w:tr>
        <w:trPr>
          <w:cantSplit/>
        </w:trPr>
        <w:tc>
          <w:tcPr>
            <w:tcW w:type="dxa" w:w="1247"/>
            <w:gridSpan w:val="4"/>
            <w:shd w:val="clear" w:color="auto" w:fill="F2F5FA"/>
            <w:tcBorders>
              <w:left w:val="single" w:sz="30" w:space="0" w:color="1BAF7A"/>
            </w:tcBorders>
          </w:tcPr>
          <w:p>
            <w:pPr>
              <w:spacing w:before="20" w:after="20" w:line="264" w:lineRule="auto"/>
            </w:pPr>
            <w:r>
              <w:rPr>
                <w:rFonts w:ascii="Arial" w:hAnsi="Arial" w:eastAsia="Arial"/>
                <w:b/>
                <w:i w:val="0"/>
                <w:color w:val="0A2F5C"/>
                <w:sz w:val="17"/>
              </w:rPr>
              <w:t>INVERSIONES  (1)</w:t>
            </w:r>
          </w:p>
        </w:tc>
      </w:tr>
      <w:tr>
        <w:trPr>
          <w:cantSplit/>
        </w:trPr>
        <w:tc>
          <w:tcPr>
            <w:tcW w:type="dxa" w:w="567"/>
          </w:tcPr>
          <w:p>
            <w:pPr>
              <w:spacing w:before="20" w:after="20" w:line="264" w:lineRule="auto"/>
              <w:jc w:val="center"/>
            </w:pPr>
            <w:r>
              <w:rPr>
                <w:rFonts w:ascii="Arial" w:hAnsi="Arial" w:eastAsia="Arial"/>
                <w:b/>
                <w:i w:val="0"/>
                <w:color w:val="0A2F5C"/>
                <w:sz w:val="18"/>
              </w:rPr>
              <w:t>4</w:t>
            </w:r>
          </w:p>
        </w:tc>
        <w:tc>
          <w:tcPr>
            <w:tcW w:type="dxa" w:w="2835"/>
          </w:tcPr>
          <w:p>
            <w:pPr>
              <w:spacing w:before="20" w:after="20" w:line="264" w:lineRule="auto"/>
            </w:pPr>
            <w:hyperlink r:id="rId14">
              <w:r>
                <w:rPr>
                  <w:rFonts w:ascii="Arial" w:hAnsi="Arial" w:eastAsia="Arial" w:cs="Arial"/>
                  <w:b/>
                  <w:color w:val="0B5CAD"/>
                  <w:sz w:val="17"/>
                  <w:u w:val="single"/>
                </w:rPr>
                <w:t xml:space="preserve">RESOLUCIÓN  N° 00140-2026</w:t>
              </w:r>
            </w:hyperlink>
          </w:p>
          <w:p>
            <w:pPr>
              <w:spacing w:before="0" w:after="20" w:line="252" w:lineRule="auto"/>
            </w:pPr>
            <w:r>
              <w:rPr>
                <w:rFonts w:ascii="Arial" w:hAnsi="Arial" w:eastAsia="Arial"/>
                <w:b w:val="0"/>
                <w:i w:val="0"/>
                <w:color w:val="5B6880"/>
                <w:sz w:val="15"/>
              </w:rPr>
              <w:t>AGENCIA DE PROMOCIÓN DE LA INVERSIÓN PRIVADA</w:t>
            </w:r>
          </w:p>
        </w:tc>
        <w:tc>
          <w:tcPr>
            <w:tcW w:type="dxa" w:w="4762"/>
          </w:tcPr>
          <w:p>
            <w:pPr>
              <w:spacing w:before="20" w:after="20" w:line="264" w:lineRule="auto"/>
            </w:pPr>
            <w:r>
              <w:rPr>
                <w:rFonts w:ascii="Arial" w:hAnsi="Arial" w:eastAsia="Arial"/>
                <w:b w:val="0"/>
                <w:i w:val="0"/>
                <w:sz w:val="17"/>
              </w:rPr>
              <w:t>Aprueban modificación del Manual de Clasificador de Cargos de la Agencia de Promoción de la Inversión Privada – PROINVERSIÓN</w:t>
            </w:r>
          </w:p>
        </w:tc>
        <w:tc>
          <w:tcPr>
            <w:tcW w:type="dxa" w:w="1247"/>
          </w:tcPr>
          <w:p>
            <w:pPr>
              <w:spacing w:before="20" w:after="20" w:line="264" w:lineRule="auto"/>
              <w:jc w:val="center"/>
            </w:pPr>
            <w:r>
              <w:rPr>
                <w:rFonts w:ascii="Arial" w:hAnsi="Arial" w:eastAsia="Arial"/>
                <w:b w:val="0"/>
                <w:i w:val="0"/>
                <w:sz w:val="17"/>
              </w:rPr>
              <w:t>19/09/2026</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Normatividad presupuestal</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  DECRETO SUPREMO  N° 195-2026-EF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19/09/2026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del Ministerio de Educación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Se autoriza una Transferencia de Partidas en el Presupuesto del Sector Público para el Año Fiscal 2026, hasta por la suma de S/ 373 274 481,00 (TRESCIENTOS SETENTA Y TRES MILLONES DOSCIENTOS SETENTA Y CUATRO MIL CUATROCIENTOS OCHENTA Y UNO Y 00/100 SOLES), por la fuente de financiamiento Recursos Ordinarios, a favor del Ministerio de Educación, para financiar la ejecución de actividades de prevención y mitigación por precipitaciones pluviales y peligros asociados en el contexto del Fenómeno El Niño 2026-2027, orientadas a garantizar la continuidad del servicio educativo mediante la adquisición, transporte e instalación de mil quinientos (1 500) kits de infraestructura…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220 480,00 · S/ 373 274 481,00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5">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6">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2.  DECRETO SUPREMO  N° 194-2026-EF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19/09/2026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 la Reserva de Contingencia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Transferencia de Partidas a favor de la Reserva de Contingencia Se autoriza una Transferencia de Partidas en el Presupuesto del Sector Público para el Año Fiscal 2026, hasta por la suma de S/ 79 352 690,00 (SETENTA Y NUEVE MILLONES TRESCIENTOS CINCUENTA Y DOS MIL SEISCIENTOS NOVENTA Y 00/100 SOLES), por la fuente de financiamiento Recursos Ordinarios, a favor de la Reserva de Contingencia del Ministerio de Economía y Finanzas, con cargo a los recursos del presupuesto institucional de la Oficina de Normalización Previsional, en el marco de la Décima Cuarta Disposición Complementaria Final de la Ley Nº 32513, Ley de Presupuesto del Sector Público para el Año Fiscal 2026, de…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79 352 690,00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2">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7">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8">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3.  ACUERDO  N° 150-2026-GRA/CR-SO.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AMAZONAS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19/09/2026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reducción del Marco Presupuestal en la Fuente de Financiamiento Recursos Directamente Recaudados de la Unidades Ejecutoras del Gobierno Regional Amazonas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APROBAR la REDUCCIÓN DEL MARCO PRESUPUESTAL en la Fuente de Financiamiento Recursos Directamente Recaudados de la Unidades Ejecutoras del Pliego 440-Gobierno Regional Amazonas por un monto total de S/ 1, 574, 543.03, en función al siguiente cuadro: N° UNIDAD EJECUTORA IMPORTE S/ 1 200 TRANSPORTES 25,563.00 2 401 SALUD BAGUA 5,876.00 3 402 HOSPITAL DE APOYO CHACHAPOYAS 1,039,321.03 4 403 HOSPITAL DE APOYO BAGUA 503,783.28 TOTAL 1,574,543.03 Artículo Segundo.- NOTIFICAR al Gobernador Regional de Amazonas, Sr. GILMER WILSON HORNA CORRALES para que DISPONGA a través de los funcionarios competentes el cumplimiento a la implementación del presente acuerdo; asimismo, haga de…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3">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9">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0">
              <w:r>
                <w:rPr>
                  <w:rFonts w:ascii="Arial" w:hAnsi="Arial" w:eastAsia="Arial" w:cs="Arial"/>
                  <w:color w:val="0B5CAD"/>
                  <w:sz w:val="17"/>
                  <w:u w:val="single"/>
                </w:rPr>
                <w:t xml:space="preserve">PDF</w:t>
              </w:r>
            </w:hyperlink>
          </w:p>
        </w:tc>
      </w:tr>
    </w:tbl>
    <w:p>
      <w:pPr>
        <w:spacing w:before="0" w:after="120" w:line="276" w:lineRule="auto"/>
      </w:pPr>
    </w:p>
    <w:p>
      <w:pPr>
        <w:keepNext/>
        <w:spacing w:before="160" w:after="80" w:line="276" w:lineRule="auto"/>
      </w:pPr>
      <w:r>
        <w:rPr>
          <w:rFonts w:ascii="Arial" w:hAnsi="Arial" w:eastAsia="Arial"/>
          <w:b/>
          <w:i w:val="0"/>
          <w:color w:val="0B5CAD"/>
          <w:sz w:val="21"/>
        </w:rPr>
        <w:t>2.2  Inversiones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4.  RESOLUCIÓN  N° 00140-2026</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AGENCIA DE PROMOCIÓN DE LA INVERSIÓN PRIVADA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19/09/2026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modificación del Manual de Clasificador de Cargos de la Agencia de Promoción de la Inversión Privada – PROINVERSIÓN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Aprobar la modificación del Manual de Clasificador de Cargos de la Agencia de Promoción de la Inversión Privada – PROINVERSIÓN, aprobado mediante la Resolución de la Secretaría General Nº 152-2023, compendiado mediante la Resolución de la Secretaría General Nº 254-2025, y modificado mediante las Resoluciones de la Gerencia General Nº 059-2026, Nº 074-2026 y Nº 091-2026, en el extremo referido a los cargos estructurales contenidos en las fichas técnicas que, como anexo, forman parte integrante de la presente Resolución. Artículo 2.- Disponer la publicación de la presente Resolución y sus anexos en el Portal de Transparencia Estándar ( www.transparencia.gob.pe ) y en la sede…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4">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1">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2">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23">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56353-5" TargetMode="External"/><Relationship Id="rId12" Type="http://schemas.openxmlformats.org/officeDocument/2006/relationships/hyperlink" Target="https://busquedas.elperuano.pe/api/visor_html/2556348-1" TargetMode="External"/><Relationship Id="rId13" Type="http://schemas.openxmlformats.org/officeDocument/2006/relationships/hyperlink" Target="https://busquedas.elperuano.pe/api/visor_html/2552640-1" TargetMode="External"/><Relationship Id="rId14" Type="http://schemas.openxmlformats.org/officeDocument/2006/relationships/hyperlink" Target="https://busquedas.elperuano.pe/api/visor_html/2556315-1" TargetMode="External"/><Relationship Id="rId15" Type="http://schemas.openxmlformats.org/officeDocument/2006/relationships/hyperlink" Target="https://busquedas.elperuano.pe/dispositivo/NL/2556353-5" TargetMode="External"/><Relationship Id="rId16" Type="http://schemas.openxmlformats.org/officeDocument/2006/relationships/hyperlink" Target="https://busquedas.elperuano.pe/dispositivo/NL/2556353-5/pdf" TargetMode="External"/><Relationship Id="rId17" Type="http://schemas.openxmlformats.org/officeDocument/2006/relationships/hyperlink" Target="https://busquedas.elperuano.pe/dispositivo/NL/2556348-1" TargetMode="External"/><Relationship Id="rId18" Type="http://schemas.openxmlformats.org/officeDocument/2006/relationships/hyperlink" Target="https://busquedas.elperuano.pe/dispositivo/NL/2556348-1/pdf" TargetMode="External"/><Relationship Id="rId19" Type="http://schemas.openxmlformats.org/officeDocument/2006/relationships/hyperlink" Target="https://busquedas.elperuano.pe/dispositivo/NL/2552640-1" TargetMode="External"/><Relationship Id="rId20" Type="http://schemas.openxmlformats.org/officeDocument/2006/relationships/hyperlink" Target="https://busquedas.elperuano.pe/dispositivo/NL/2552640-1/pdf" TargetMode="External"/><Relationship Id="rId21" Type="http://schemas.openxmlformats.org/officeDocument/2006/relationships/hyperlink" Target="https://busquedas.elperuano.pe/dispositivo/NL/2556315-1" TargetMode="External"/><Relationship Id="rId22" Type="http://schemas.openxmlformats.org/officeDocument/2006/relationships/hyperlink" Target="https://busquedas.elperuano.pe/dispositivo/NL/2556315-1/pdf" TargetMode="External"/><Relationship Id="rId23"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