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Lunes 21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21/09/2026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11:02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21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0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21 normas publicadas en el periodo, ninguna corresponde a la ATU, a la normatividad presupuestal ni a inversiones.</w:t>
      </w: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1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