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Jueves 24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24/09/2026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11:03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92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0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92 normas publicadas en el periodo, ninguna corresponde a la ATU, a la normatividad presupuestal ni a inversiones.</w:t>
      </w: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1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