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eastAsia="Arial"/>
          <w:b/>
          <w:i w:val="0"/>
          <w:color w:val="0A2F5C"/>
          <w:sz w:val="36"/>
        </w:rPr>
        <w:t>RESUMEN DE NORMAS LEGALES</w:t>
      </w:r>
    </w:p>
    <w:p>
      <w:pPr>
        <w:spacing w:before="0" w:after="40" w:line="276" w:lineRule="auto"/>
        <w:jc w:val="center"/>
      </w:pPr>
      <w:r>
        <w:rPr>
          <w:rFonts w:ascii="Arial" w:hAnsi="Arial" w:eastAsia="Arial"/>
          <w:b w:val="0"/>
          <w:i w:val="0"/>
          <w:color w:val="5B6880"/>
          <w:sz w:val="21"/>
        </w:rPr>
        <w:t>Diario Oficial El Peruano · Viernes 25 de septiembre de 2026</w:t>
      </w:r>
    </w:p>
    <w:p>
      <w:pPr>
        <w:spacing w:before="0" w:after="200" w:line="276" w:lineRule="auto"/>
        <w:pBdr>
          <w:bottom w:val="single" w:sz="18" w:space="1" w:color="0A2F5C"/>
        </w:pBdr>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c>
          <w:tcPr>
            <w:tcW w:type="dxa" w:w="2041"/>
            <w:shd w:val="clear" w:color="auto" w:fill="F2F5FA"/>
          </w:tcPr>
          <w:p>
            <w:pPr>
              <w:spacing w:before="20" w:after="20" w:line="264" w:lineRule="auto"/>
            </w:pPr>
            <w:r>
              <w:rPr>
                <w:rFonts w:ascii="Arial" w:hAnsi="Arial" w:eastAsia="Arial"/>
                <w:b/>
                <w:i w:val="0"/>
                <w:color w:val="0A2F5C"/>
                <w:sz w:val="17"/>
              </w:rPr>
              <w:t>Periodo revisado</w:t>
            </w:r>
          </w:p>
        </w:tc>
        <w:tc>
          <w:tcPr>
            <w:tcW w:type="dxa" w:w="2665"/>
          </w:tcPr>
          <w:p>
            <w:pPr>
              <w:spacing w:before="20" w:after="20" w:line="264" w:lineRule="auto"/>
            </w:pPr>
            <w:r>
              <w:rPr>
                <w:rFonts w:ascii="Arial" w:hAnsi="Arial" w:eastAsia="Arial"/>
                <w:b w:val="0"/>
                <w:i w:val="0"/>
                <w:sz w:val="19"/>
              </w:rPr>
              <w:t>25/09/2026</w:t>
            </w:r>
          </w:p>
        </w:tc>
        <w:tc>
          <w:tcPr>
            <w:tcW w:type="dxa" w:w="2041"/>
            <w:shd w:val="clear" w:color="auto" w:fill="F2F5FA"/>
          </w:tcPr>
          <w:p>
            <w:pPr>
              <w:spacing w:before="20" w:after="20" w:line="264" w:lineRule="auto"/>
            </w:pPr>
            <w:r>
              <w:rPr>
                <w:rFonts w:ascii="Arial" w:hAnsi="Arial" w:eastAsia="Arial"/>
                <w:b/>
                <w:i w:val="0"/>
                <w:color w:val="0A2F5C"/>
                <w:sz w:val="17"/>
              </w:rPr>
              <w:t>Fecha de elaboración</w:t>
            </w:r>
          </w:p>
        </w:tc>
        <w:tc>
          <w:tcPr>
            <w:tcW w:type="dxa" w:w="2665"/>
          </w:tcPr>
          <w:p>
            <w:pPr>
              <w:spacing w:before="20" w:after="20" w:line="264" w:lineRule="auto"/>
            </w:pPr>
            <w:r>
              <w:rPr>
                <w:rFonts w:ascii="Arial" w:hAnsi="Arial" w:eastAsia="Arial"/>
                <w:b w:val="0"/>
                <w:i w:val="0"/>
                <w:sz w:val="19"/>
              </w:rPr>
              <w:t>27/10/2026 11:04</w:t>
            </w:r>
          </w:p>
        </w:tc>
      </w:tr>
      <w:tr>
        <w:tc>
          <w:tcPr>
            <w:tcW w:type="dxa" w:w="2041"/>
            <w:shd w:val="clear" w:color="auto" w:fill="F2F5FA"/>
          </w:tcPr>
          <w:p>
            <w:pPr>
              <w:spacing w:before="20" w:after="20" w:line="264" w:lineRule="auto"/>
            </w:pPr>
            <w:r>
              <w:rPr>
                <w:rFonts w:ascii="Arial" w:hAnsi="Arial" w:eastAsia="Arial"/>
                <w:b/>
                <w:i w:val="0"/>
                <w:color w:val="0A2F5C"/>
                <w:sz w:val="17"/>
              </w:rPr>
              <w:t>Normas publicadas</w:t>
            </w:r>
          </w:p>
        </w:tc>
        <w:tc>
          <w:tcPr>
            <w:tcW w:type="dxa" w:w="2665"/>
          </w:tcPr>
          <w:p>
            <w:pPr>
              <w:spacing w:before="20" w:after="20" w:line="264" w:lineRule="auto"/>
            </w:pPr>
            <w:r>
              <w:rPr>
                <w:rFonts w:ascii="Arial" w:hAnsi="Arial" w:eastAsia="Arial"/>
                <w:b w:val="0"/>
                <w:i w:val="0"/>
                <w:sz w:val="19"/>
              </w:rPr>
              <w:t>104</w:t>
            </w:r>
          </w:p>
        </w:tc>
        <w:tc>
          <w:tcPr>
            <w:tcW w:type="dxa" w:w="2041"/>
            <w:shd w:val="clear" w:color="auto" w:fill="F2F5FA"/>
          </w:tcPr>
          <w:p>
            <w:pPr>
              <w:spacing w:before="20" w:after="20" w:line="264" w:lineRule="auto"/>
            </w:pPr>
            <w:r>
              <w:rPr>
                <w:rFonts w:ascii="Arial" w:hAnsi="Arial" w:eastAsia="Arial"/>
                <w:b/>
                <w:i w:val="0"/>
                <w:color w:val="0A2F5C"/>
                <w:sz w:val="17"/>
              </w:rPr>
              <w:t>Normas de interés</w:t>
            </w:r>
          </w:p>
        </w:tc>
        <w:tc>
          <w:tcPr>
            <w:tcW w:type="dxa" w:w="2665"/>
          </w:tcPr>
          <w:p>
            <w:pPr>
              <w:spacing w:before="20" w:after="20" w:line="264" w:lineRule="auto"/>
            </w:pPr>
            <w:r>
              <w:rPr>
                <w:rFonts w:ascii="Arial" w:hAnsi="Arial" w:eastAsia="Arial"/>
                <w:b/>
                <w:i w:val="0"/>
                <w:color w:val="0A2F5C"/>
                <w:sz w:val="19"/>
              </w:rPr>
              <w:t>6</w:t>
            </w:r>
          </w:p>
        </w:tc>
      </w:tr>
    </w:tbl>
    <w:p>
      <w:pPr>
        <w:spacing w:before="280" w:after="120" w:line="276" w:lineRule="auto"/>
        <w:keepNext/>
        <w:pBdr>
          <w:bottom w:val="single" w:sz="6" w:space="2" w:color="C9D2DF"/>
        </w:pBdr>
      </w:pPr>
      <w:r>
        <w:rPr>
          <w:rFonts w:ascii="Arial" w:hAnsi="Arial" w:eastAsia="Arial"/>
          <w:b/>
          <w:i w:val="0"/>
          <w:color w:val="0A2F5C"/>
          <w:sz w:val="22"/>
        </w:rPr>
        <w:t>1. RESUMEN EJECUTIVO</w:t>
      </w:r>
    </w:p>
    <w:p>
      <w:pPr>
        <w:spacing w:before="0" w:after="160" w:line="276" w:lineRule="auto"/>
        <w:jc w:val="both"/>
      </w:pPr>
      <w:r>
        <w:rPr>
          <w:rFonts w:ascii="Arial" w:hAnsi="Arial" w:eastAsia="Arial"/>
          <w:b w:val="0"/>
          <w:i w:val="0"/>
          <w:sz w:val="20"/>
        </w:rPr>
        <w:t>De las 104 normas publicadas en el periodo, 6 resultan de interés institucional: 4 de normatividad presupuestal y 2 de inversiones. No se identificaron normas que involucren a la ATU. El Cuadro 1 presenta la relación completa y la sección 2, el detalle de cada norma.</w:t>
      </w:r>
    </w:p>
    <w:p>
      <w:pPr>
        <w:keepNext/>
        <w:spacing w:before="80" w:after="60" w:line="276" w:lineRule="auto"/>
      </w:pPr>
      <w:r>
        <w:rPr>
          <w:rFonts w:ascii="Arial" w:hAnsi="Arial" w:eastAsia="Arial"/>
          <w:b/>
          <w:i w:val="0"/>
          <w:color w:val="0A2F5C"/>
          <w:sz w:val="18"/>
        </w:rPr>
        <w:t>Cuadro 1. Normas de interés identificadas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rPr>
          <w:cantSplit/>
          <w:tblHeader/>
        </w:trPr>
        <w:tc>
          <w:tcPr>
            <w:tcW w:type="dxa" w:w="567"/>
            <w:shd w:val="clear" w:color="auto" w:fill="0A2F5C"/>
          </w:tcPr>
          <w:p>
            <w:pPr>
              <w:spacing w:before="20" w:after="20" w:line="264" w:lineRule="auto"/>
              <w:jc w:val="center"/>
            </w:pPr>
            <w:r>
              <w:rPr>
                <w:rFonts w:ascii="Arial" w:hAnsi="Arial" w:eastAsia="Arial"/>
                <w:b/>
                <w:i w:val="0"/>
                <w:color w:val="FFFFFF"/>
                <w:sz w:val="17"/>
              </w:rPr>
              <w:t>N.°</w:t>
            </w:r>
          </w:p>
        </w:tc>
        <w:tc>
          <w:tcPr>
            <w:tcW w:type="dxa" w:w="2835"/>
            <w:shd w:val="clear" w:color="auto" w:fill="0A2F5C"/>
          </w:tcPr>
          <w:p>
            <w:pPr>
              <w:spacing w:before="20" w:after="20" w:line="264" w:lineRule="auto"/>
              <w:jc w:val="center"/>
            </w:pPr>
            <w:r>
              <w:rPr>
                <w:rFonts w:ascii="Arial" w:hAnsi="Arial" w:eastAsia="Arial"/>
                <w:b/>
                <w:i w:val="0"/>
                <w:color w:val="FFFFFF"/>
                <w:sz w:val="17"/>
              </w:rPr>
              <w:t>Norma y entidad emisora</w:t>
            </w:r>
          </w:p>
        </w:tc>
        <w:tc>
          <w:tcPr>
            <w:tcW w:type="dxa" w:w="4762"/>
            <w:shd w:val="clear" w:color="auto" w:fill="0A2F5C"/>
          </w:tcPr>
          <w:p>
            <w:pPr>
              <w:spacing w:before="20" w:after="20" w:line="264" w:lineRule="auto"/>
              <w:jc w:val="center"/>
            </w:pPr>
            <w:r>
              <w:rPr>
                <w:rFonts w:ascii="Arial" w:hAnsi="Arial" w:eastAsia="Arial"/>
                <w:b/>
                <w:i w:val="0"/>
                <w:color w:val="FFFFFF"/>
                <w:sz w:val="17"/>
              </w:rPr>
              <w:t>Sumilla</w:t>
            </w:r>
          </w:p>
        </w:tc>
        <w:tc>
          <w:tcPr>
            <w:tcW w:type="dxa" w:w="1247"/>
            <w:shd w:val="clear" w:color="auto" w:fill="0A2F5C"/>
          </w:tcPr>
          <w:p>
            <w:pPr>
              <w:spacing w:before="20" w:after="20" w:line="264" w:lineRule="auto"/>
              <w:jc w:val="center"/>
            </w:pPr>
            <w:r>
              <w:rPr>
                <w:rFonts w:ascii="Arial" w:hAnsi="Arial" w:eastAsia="Arial"/>
                <w:b/>
                <w:i w:val="0"/>
                <w:color w:val="FFFFFF"/>
                <w:sz w:val="17"/>
              </w:rPr>
              <w:t>Publicación</w:t>
            </w:r>
          </w:p>
        </w:tc>
      </w:tr>
      <w:tr>
        <w:trPr>
          <w:cantSplit/>
        </w:trPr>
        <w:tc>
          <w:tcPr>
            <w:tcW w:type="dxa" w:w="1247"/>
            <w:gridSpan w:val="4"/>
            <w:shd w:val="clear" w:color="auto" w:fill="F2F5FA"/>
            <w:tcBorders>
              <w:left w:val="single" w:sz="30" w:space="0" w:color="EB6834"/>
            </w:tcBorders>
          </w:tcPr>
          <w:p>
            <w:pPr>
              <w:spacing w:before="20" w:after="20" w:line="264" w:lineRule="auto"/>
            </w:pPr>
            <w:r>
              <w:rPr>
                <w:rFonts w:ascii="Arial" w:hAnsi="Arial" w:eastAsia="Arial"/>
                <w:b/>
                <w:i w:val="0"/>
                <w:color w:val="0A2F5C"/>
                <w:sz w:val="17"/>
              </w:rPr>
              <w:t>NORMATIVIDAD PRESUPUESTAL  (4)</w:t>
            </w:r>
          </w:p>
        </w:tc>
      </w:tr>
      <w:tr>
        <w:trPr>
          <w:cantSplit/>
        </w:trPr>
        <w:tc>
          <w:tcPr>
            <w:tcW w:type="dxa" w:w="567"/>
          </w:tcPr>
          <w:p>
            <w:pPr>
              <w:spacing w:before="20" w:after="20" w:line="264" w:lineRule="auto"/>
              <w:jc w:val="center"/>
            </w:pPr>
            <w:r>
              <w:rPr>
                <w:rFonts w:ascii="Arial" w:hAnsi="Arial" w:eastAsia="Arial"/>
                <w:b/>
                <w:i w:val="0"/>
                <w:color w:val="0A2F5C"/>
                <w:sz w:val="18"/>
              </w:rPr>
              <w:t>1</w:t>
            </w:r>
          </w:p>
        </w:tc>
        <w:tc>
          <w:tcPr>
            <w:tcW w:type="dxa" w:w="2835"/>
          </w:tcPr>
          <w:p>
            <w:pPr>
              <w:spacing w:before="20" w:after="20" w:line="264" w:lineRule="auto"/>
            </w:pPr>
            <w:hyperlink r:id="rId11">
              <w:r>
                <w:rPr>
                  <w:rFonts w:ascii="Arial" w:hAnsi="Arial" w:eastAsia="Arial" w:cs="Arial"/>
                  <w:b/>
                  <w:color w:val="0B5CAD"/>
                  <w:sz w:val="17"/>
                  <w:u w:val="single"/>
                </w:rPr>
                <w:t xml:space="preserve">RESOLUCIÓN  N° 132-2026-CONCYTEC-P</w:t>
              </w:r>
            </w:hyperlink>
          </w:p>
          <w:p>
            <w:pPr>
              <w:spacing w:before="0" w:after="20" w:line="252" w:lineRule="auto"/>
            </w:pPr>
            <w:r>
              <w:rPr>
                <w:rFonts w:ascii="Arial" w:hAnsi="Arial" w:eastAsia="Arial"/>
                <w:b w:val="0"/>
                <w:i w:val="0"/>
                <w:color w:val="5B6880"/>
                <w:sz w:val="15"/>
              </w:rPr>
              <w:t>CONSEJO NACIONAL DE CIENCIA, TECNOLOGÍA E INNOVACIÓN TECNOLÓGICA</w:t>
            </w:r>
          </w:p>
        </w:tc>
        <w:tc>
          <w:tcPr>
            <w:tcW w:type="dxa" w:w="4762"/>
          </w:tcPr>
          <w:p>
            <w:pPr>
              <w:spacing w:before="20" w:after="20" w:line="264" w:lineRule="auto"/>
            </w:pPr>
            <w:r>
              <w:rPr>
                <w:rFonts w:ascii="Arial" w:hAnsi="Arial" w:eastAsia="Arial"/>
                <w:b w:val="0"/>
                <w:i w:val="0"/>
                <w:sz w:val="17"/>
              </w:rPr>
              <w:t>Aprueban transferencias financieras a entidades públicas</w:t>
            </w:r>
          </w:p>
        </w:tc>
        <w:tc>
          <w:tcPr>
            <w:tcW w:type="dxa" w:w="1247"/>
          </w:tcPr>
          <w:p>
            <w:pPr>
              <w:spacing w:before="20" w:after="20" w:line="264" w:lineRule="auto"/>
              <w:jc w:val="center"/>
            </w:pPr>
            <w:r>
              <w:rPr>
                <w:rFonts w:ascii="Arial" w:hAnsi="Arial" w:eastAsia="Arial"/>
                <w:b w:val="0"/>
                <w:i w:val="0"/>
                <w:sz w:val="17"/>
              </w:rPr>
              <w:t>25/09/2026</w:t>
            </w:r>
          </w:p>
        </w:tc>
      </w:tr>
      <w:tr>
        <w:trPr>
          <w:cantSplit/>
        </w:trPr>
        <w:tc>
          <w:tcPr>
            <w:tcW w:type="dxa" w:w="567"/>
          </w:tcPr>
          <w:p>
            <w:pPr>
              <w:spacing w:before="20" w:after="20" w:line="264" w:lineRule="auto"/>
              <w:jc w:val="center"/>
            </w:pPr>
            <w:r>
              <w:rPr>
                <w:rFonts w:ascii="Arial" w:hAnsi="Arial" w:eastAsia="Arial"/>
                <w:b/>
                <w:i w:val="0"/>
                <w:color w:val="0A2F5C"/>
                <w:sz w:val="18"/>
              </w:rPr>
              <w:t>2</w:t>
            </w:r>
          </w:p>
        </w:tc>
        <w:tc>
          <w:tcPr>
            <w:tcW w:type="dxa" w:w="2835"/>
          </w:tcPr>
          <w:p>
            <w:pPr>
              <w:spacing w:before="20" w:after="20" w:line="264" w:lineRule="auto"/>
            </w:pPr>
            <w:hyperlink r:id="rId12">
              <w:r>
                <w:rPr>
                  <w:rFonts w:ascii="Arial" w:hAnsi="Arial" w:eastAsia="Arial" w:cs="Arial"/>
                  <w:b/>
                  <w:color w:val="0B5CAD"/>
                  <w:sz w:val="17"/>
                  <w:u w:val="single"/>
                </w:rPr>
                <w:t xml:space="preserve">DECRETO SUPREMO  N° 200-2026-EF</w:t>
              </w:r>
            </w:hyperlink>
          </w:p>
          <w:p>
            <w:pPr>
              <w:spacing w:before="0" w:after="20" w:line="252" w:lineRule="auto"/>
            </w:pPr>
            <w:r>
              <w:rPr>
                <w:rFonts w:ascii="Arial" w:hAnsi="Arial" w:eastAsia="Arial"/>
                <w:b w:val="0"/>
                <w:i w:val="0"/>
                <w:color w:val="5B6880"/>
                <w:sz w:val="15"/>
              </w:rPr>
              <w:t>ECONOMÍA Y FINANZAS</w:t>
            </w:r>
          </w:p>
        </w:tc>
        <w:tc>
          <w:tcPr>
            <w:tcW w:type="dxa" w:w="4762"/>
          </w:tcPr>
          <w:p>
            <w:pPr>
              <w:spacing w:before="20" w:after="20" w:line="264" w:lineRule="auto"/>
            </w:pPr>
            <w:r>
              <w:rPr>
                <w:rFonts w:ascii="Arial" w:hAnsi="Arial" w:eastAsia="Arial"/>
                <w:b w:val="0"/>
                <w:i w:val="0"/>
                <w:sz w:val="17"/>
              </w:rPr>
              <w:t>Decreto Supremo que autoriza Transferencia de Partidas en el Presupuesto del Sector Público para el Año Fiscal 2026 a favor de la Reserva de Contingencia y del Organismo Técnico de la Administración de los Servicios de Saneamiento</w:t>
            </w:r>
          </w:p>
        </w:tc>
        <w:tc>
          <w:tcPr>
            <w:tcW w:type="dxa" w:w="1247"/>
          </w:tcPr>
          <w:p>
            <w:pPr>
              <w:spacing w:before="20" w:after="20" w:line="264" w:lineRule="auto"/>
              <w:jc w:val="center"/>
            </w:pPr>
            <w:r>
              <w:rPr>
                <w:rFonts w:ascii="Arial" w:hAnsi="Arial" w:eastAsia="Arial"/>
                <w:b w:val="0"/>
                <w:i w:val="0"/>
                <w:sz w:val="17"/>
              </w:rPr>
              <w:t>25/09/2026</w:t>
            </w:r>
          </w:p>
        </w:tc>
      </w:tr>
      <w:tr>
        <w:trPr>
          <w:cantSplit/>
        </w:trPr>
        <w:tc>
          <w:tcPr>
            <w:tcW w:type="dxa" w:w="567"/>
          </w:tcPr>
          <w:p>
            <w:pPr>
              <w:spacing w:before="20" w:after="20" w:line="264" w:lineRule="auto"/>
              <w:jc w:val="center"/>
            </w:pPr>
            <w:r>
              <w:rPr>
                <w:rFonts w:ascii="Arial" w:hAnsi="Arial" w:eastAsia="Arial"/>
                <w:b/>
                <w:i w:val="0"/>
                <w:color w:val="0A2F5C"/>
                <w:sz w:val="18"/>
              </w:rPr>
              <w:t>3</w:t>
            </w:r>
          </w:p>
        </w:tc>
        <w:tc>
          <w:tcPr>
            <w:tcW w:type="dxa" w:w="2835"/>
          </w:tcPr>
          <w:p>
            <w:pPr>
              <w:spacing w:before="20" w:after="20" w:line="264" w:lineRule="auto"/>
            </w:pPr>
            <w:hyperlink r:id="rId13">
              <w:r>
                <w:rPr>
                  <w:rFonts w:ascii="Arial" w:hAnsi="Arial" w:eastAsia="Arial" w:cs="Arial"/>
                  <w:b/>
                  <w:color w:val="0B5CAD"/>
                  <w:sz w:val="17"/>
                  <w:u w:val="single"/>
                </w:rPr>
                <w:t xml:space="preserve">DECRETO SUPREMO  N° 201-2026-EF</w:t>
              </w:r>
            </w:hyperlink>
          </w:p>
          <w:p>
            <w:pPr>
              <w:spacing w:before="0" w:after="20" w:line="252" w:lineRule="auto"/>
            </w:pPr>
            <w:r>
              <w:rPr>
                <w:rFonts w:ascii="Arial" w:hAnsi="Arial" w:eastAsia="Arial"/>
                <w:b w:val="0"/>
                <w:i w:val="0"/>
                <w:color w:val="5B6880"/>
                <w:sz w:val="15"/>
              </w:rPr>
              <w:t>ECONOMÍA Y FINANZAS</w:t>
            </w:r>
          </w:p>
        </w:tc>
        <w:tc>
          <w:tcPr>
            <w:tcW w:type="dxa" w:w="4762"/>
          </w:tcPr>
          <w:p>
            <w:pPr>
              <w:spacing w:before="20" w:after="20" w:line="264" w:lineRule="auto"/>
            </w:pPr>
            <w:r>
              <w:rPr>
                <w:rFonts w:ascii="Arial" w:hAnsi="Arial" w:eastAsia="Arial"/>
                <w:b w:val="0"/>
                <w:i w:val="0"/>
                <w:sz w:val="17"/>
              </w:rPr>
              <w:t>Decreto Supremo que autoriza Transferencia de Partidas en el Presupuesto del Sector Público para el Año Fiscal 2026 a favor de diversos Gobiernos Regionales</w:t>
            </w:r>
          </w:p>
        </w:tc>
        <w:tc>
          <w:tcPr>
            <w:tcW w:type="dxa" w:w="1247"/>
          </w:tcPr>
          <w:p>
            <w:pPr>
              <w:spacing w:before="20" w:after="20" w:line="264" w:lineRule="auto"/>
              <w:jc w:val="center"/>
            </w:pPr>
            <w:r>
              <w:rPr>
                <w:rFonts w:ascii="Arial" w:hAnsi="Arial" w:eastAsia="Arial"/>
                <w:b w:val="0"/>
                <w:i w:val="0"/>
                <w:sz w:val="17"/>
              </w:rPr>
              <w:t>25/09/2026</w:t>
            </w:r>
          </w:p>
        </w:tc>
      </w:tr>
      <w:tr>
        <w:trPr>
          <w:cantSplit/>
        </w:trPr>
        <w:tc>
          <w:tcPr>
            <w:tcW w:type="dxa" w:w="567"/>
          </w:tcPr>
          <w:p>
            <w:pPr>
              <w:spacing w:before="20" w:after="20" w:line="264" w:lineRule="auto"/>
              <w:jc w:val="center"/>
            </w:pPr>
            <w:r>
              <w:rPr>
                <w:rFonts w:ascii="Arial" w:hAnsi="Arial" w:eastAsia="Arial"/>
                <w:b/>
                <w:i w:val="0"/>
                <w:color w:val="0A2F5C"/>
                <w:sz w:val="18"/>
              </w:rPr>
              <w:t>4</w:t>
            </w:r>
          </w:p>
        </w:tc>
        <w:tc>
          <w:tcPr>
            <w:tcW w:type="dxa" w:w="2835"/>
          </w:tcPr>
          <w:p>
            <w:pPr>
              <w:spacing w:before="20" w:after="20" w:line="264" w:lineRule="auto"/>
            </w:pPr>
            <w:hyperlink r:id="rId14">
              <w:r>
                <w:rPr>
                  <w:rFonts w:ascii="Arial" w:hAnsi="Arial" w:eastAsia="Arial" w:cs="Arial"/>
                  <w:b/>
                  <w:color w:val="0B5CAD"/>
                  <w:sz w:val="17"/>
                  <w:u w:val="single"/>
                </w:rPr>
                <w:t xml:space="preserve">ACUERDO  N° 171-2026-GRA/CR</w:t>
              </w:r>
            </w:hyperlink>
          </w:p>
          <w:p>
            <w:pPr>
              <w:spacing w:before="0" w:after="20" w:line="252" w:lineRule="auto"/>
            </w:pPr>
            <w:r>
              <w:rPr>
                <w:rFonts w:ascii="Arial" w:hAnsi="Arial" w:eastAsia="Arial"/>
                <w:b w:val="0"/>
                <w:i w:val="0"/>
                <w:color w:val="5B6880"/>
                <w:sz w:val="15"/>
              </w:rPr>
              <w:t>GOBIERNO REGIONAL DE ANCASH</w:t>
            </w:r>
          </w:p>
        </w:tc>
        <w:tc>
          <w:tcPr>
            <w:tcW w:type="dxa" w:w="4762"/>
          </w:tcPr>
          <w:p>
            <w:pPr>
              <w:spacing w:before="20" w:after="20" w:line="264" w:lineRule="auto"/>
            </w:pPr>
            <w:r>
              <w:rPr>
                <w:rFonts w:ascii="Arial" w:hAnsi="Arial" w:eastAsia="Arial"/>
                <w:b w:val="0"/>
                <w:i w:val="0"/>
                <w:sz w:val="17"/>
              </w:rPr>
              <w:t>Autorizan transferencia financiera a favor de Municipalidades Provinciales y Distritales del departamento de Áncash para el financiamiento de proyectos de inversión</w:t>
            </w:r>
          </w:p>
        </w:tc>
        <w:tc>
          <w:tcPr>
            <w:tcW w:type="dxa" w:w="1247"/>
          </w:tcPr>
          <w:p>
            <w:pPr>
              <w:spacing w:before="20" w:after="20" w:line="264" w:lineRule="auto"/>
              <w:jc w:val="center"/>
            </w:pPr>
            <w:r>
              <w:rPr>
                <w:rFonts w:ascii="Arial" w:hAnsi="Arial" w:eastAsia="Arial"/>
                <w:b w:val="0"/>
                <w:i w:val="0"/>
                <w:sz w:val="17"/>
              </w:rPr>
              <w:t>25/09/2026</w:t>
            </w:r>
          </w:p>
        </w:tc>
      </w:tr>
      <w:tr>
        <w:trPr>
          <w:cantSplit/>
        </w:trPr>
        <w:tc>
          <w:tcPr>
            <w:tcW w:type="dxa" w:w="1247"/>
            <w:gridSpan w:val="4"/>
            <w:shd w:val="clear" w:color="auto" w:fill="F2F5FA"/>
            <w:tcBorders>
              <w:left w:val="single" w:sz="30" w:space="0" w:color="1BAF7A"/>
            </w:tcBorders>
          </w:tcPr>
          <w:p>
            <w:pPr>
              <w:spacing w:before="20" w:after="20" w:line="264" w:lineRule="auto"/>
            </w:pPr>
            <w:r>
              <w:rPr>
                <w:rFonts w:ascii="Arial" w:hAnsi="Arial" w:eastAsia="Arial"/>
                <w:b/>
                <w:i w:val="0"/>
                <w:color w:val="0A2F5C"/>
                <w:sz w:val="17"/>
              </w:rPr>
              <w:t>INVERSIONES  (2)</w:t>
            </w:r>
          </w:p>
        </w:tc>
      </w:tr>
      <w:tr>
        <w:trPr>
          <w:cantSplit/>
        </w:trPr>
        <w:tc>
          <w:tcPr>
            <w:tcW w:type="dxa" w:w="567"/>
          </w:tcPr>
          <w:p>
            <w:pPr>
              <w:spacing w:before="20" w:after="20" w:line="264" w:lineRule="auto"/>
              <w:jc w:val="center"/>
            </w:pPr>
            <w:r>
              <w:rPr>
                <w:rFonts w:ascii="Arial" w:hAnsi="Arial" w:eastAsia="Arial"/>
                <w:b/>
                <w:i w:val="0"/>
                <w:color w:val="0A2F5C"/>
                <w:sz w:val="18"/>
              </w:rPr>
              <w:t>5</w:t>
            </w:r>
          </w:p>
        </w:tc>
        <w:tc>
          <w:tcPr>
            <w:tcW w:type="dxa" w:w="2835"/>
          </w:tcPr>
          <w:p>
            <w:pPr>
              <w:spacing w:before="20" w:after="20" w:line="264" w:lineRule="auto"/>
            </w:pPr>
            <w:hyperlink r:id="rId15">
              <w:r>
                <w:rPr>
                  <w:rFonts w:ascii="Arial" w:hAnsi="Arial" w:eastAsia="Arial" w:cs="Arial"/>
                  <w:b/>
                  <w:color w:val="0B5CAD"/>
                  <w:sz w:val="17"/>
                  <w:u w:val="single"/>
                </w:rPr>
                <w:t xml:space="preserve">RESOLUCIÓN  N° 000120-2026-CD/OSIPTEL</w:t>
              </w:r>
            </w:hyperlink>
          </w:p>
          <w:p>
            <w:pPr>
              <w:spacing w:before="0" w:after="20" w:line="252" w:lineRule="auto"/>
            </w:pPr>
            <w:r>
              <w:rPr>
                <w:rFonts w:ascii="Arial" w:hAnsi="Arial" w:eastAsia="Arial"/>
                <w:b w:val="0"/>
                <w:i w:val="0"/>
                <w:color w:val="5B6880"/>
                <w:sz w:val="15"/>
              </w:rPr>
              <w:t>ORGANISMO SUPERVISOR DE INVERSIÓN PRIVADA EN TELECOMUNICACIONES</w:t>
            </w:r>
          </w:p>
        </w:tc>
        <w:tc>
          <w:tcPr>
            <w:tcW w:type="dxa" w:w="4762"/>
          </w:tcPr>
          <w:p>
            <w:pPr>
              <w:spacing w:before="20" w:after="20" w:line="264" w:lineRule="auto"/>
            </w:pPr>
            <w:r>
              <w:rPr>
                <w:rFonts w:ascii="Arial" w:hAnsi="Arial" w:eastAsia="Arial"/>
                <w:b w:val="0"/>
                <w:i w:val="0"/>
                <w:sz w:val="17"/>
              </w:rPr>
              <w:t>Aprueban Mandato de Interconexión entre las empresas concesionarias América Móvil Perú S.A.C. y Entel Perú S.A.</w:t>
            </w:r>
          </w:p>
        </w:tc>
        <w:tc>
          <w:tcPr>
            <w:tcW w:type="dxa" w:w="1247"/>
          </w:tcPr>
          <w:p>
            <w:pPr>
              <w:spacing w:before="20" w:after="20" w:line="264" w:lineRule="auto"/>
              <w:jc w:val="center"/>
            </w:pPr>
            <w:r>
              <w:rPr>
                <w:rFonts w:ascii="Arial" w:hAnsi="Arial" w:eastAsia="Arial"/>
                <w:b w:val="0"/>
                <w:i w:val="0"/>
                <w:sz w:val="17"/>
              </w:rPr>
              <w:t>25/09/2026</w:t>
            </w:r>
          </w:p>
        </w:tc>
      </w:tr>
      <w:tr>
        <w:trPr>
          <w:cantSplit/>
        </w:trPr>
        <w:tc>
          <w:tcPr>
            <w:tcW w:type="dxa" w:w="567"/>
          </w:tcPr>
          <w:p>
            <w:pPr>
              <w:spacing w:before="20" w:after="20" w:line="264" w:lineRule="auto"/>
              <w:jc w:val="center"/>
            </w:pPr>
            <w:r>
              <w:rPr>
                <w:rFonts w:ascii="Arial" w:hAnsi="Arial" w:eastAsia="Arial"/>
                <w:b/>
                <w:i w:val="0"/>
                <w:color w:val="0A2F5C"/>
                <w:sz w:val="18"/>
              </w:rPr>
              <w:t>6</w:t>
            </w:r>
          </w:p>
        </w:tc>
        <w:tc>
          <w:tcPr>
            <w:tcW w:type="dxa" w:w="2835"/>
          </w:tcPr>
          <w:p>
            <w:pPr>
              <w:spacing w:before="20" w:after="20" w:line="264" w:lineRule="auto"/>
            </w:pPr>
            <w:hyperlink r:id="rId16">
              <w:r>
                <w:rPr>
                  <w:rFonts w:ascii="Arial" w:hAnsi="Arial" w:eastAsia="Arial" w:cs="Arial"/>
                  <w:b/>
                  <w:color w:val="0B5CAD"/>
                  <w:sz w:val="17"/>
                  <w:u w:val="single"/>
                </w:rPr>
                <w:t xml:space="preserve">RESOLUCIÓN  N° 000123-2026-CD/OSIPTEL</w:t>
              </w:r>
            </w:hyperlink>
          </w:p>
          <w:p>
            <w:pPr>
              <w:spacing w:before="0" w:after="20" w:line="252" w:lineRule="auto"/>
            </w:pPr>
            <w:r>
              <w:rPr>
                <w:rFonts w:ascii="Arial" w:hAnsi="Arial" w:eastAsia="Arial"/>
                <w:b w:val="0"/>
                <w:i w:val="0"/>
                <w:color w:val="5B6880"/>
                <w:sz w:val="15"/>
              </w:rPr>
              <w:t>ORGANISMO SUPERVISOR DE INVERSIÓN PRIVADA EN TELECOMUNICACIONES</w:t>
            </w:r>
          </w:p>
        </w:tc>
        <w:tc>
          <w:tcPr>
            <w:tcW w:type="dxa" w:w="4762"/>
          </w:tcPr>
          <w:p>
            <w:pPr>
              <w:spacing w:before="20" w:after="20" w:line="264" w:lineRule="auto"/>
            </w:pPr>
            <w:r>
              <w:rPr>
                <w:rFonts w:ascii="Arial" w:hAnsi="Arial" w:eastAsia="Arial"/>
                <w:b w:val="0"/>
                <w:i w:val="0"/>
                <w:sz w:val="17"/>
              </w:rPr>
              <w:t>Aprueban Proyecto de Mandato que modifica la relación de provisión de facilidades de red entre Mayu Telecomunicaciones S.A.C. e Integratel Perú S.A.A. correspondiente al procedimiento tramitado en el Expediente N° 00001-2026-CD-DPRC/MOIR</w:t>
            </w:r>
          </w:p>
        </w:tc>
        <w:tc>
          <w:tcPr>
            <w:tcW w:type="dxa" w:w="1247"/>
          </w:tcPr>
          <w:p>
            <w:pPr>
              <w:spacing w:before="20" w:after="20" w:line="264" w:lineRule="auto"/>
              <w:jc w:val="center"/>
            </w:pPr>
            <w:r>
              <w:rPr>
                <w:rFonts w:ascii="Arial" w:hAnsi="Arial" w:eastAsia="Arial"/>
                <w:b w:val="0"/>
                <w:i w:val="0"/>
                <w:sz w:val="17"/>
              </w:rPr>
              <w:t>25/09/2026</w:t>
            </w:r>
          </w:p>
        </w:tc>
      </w:tr>
    </w:tbl>
    <w:p>
      <w:pPr>
        <w:spacing w:before="280" w:after="120" w:line="276" w:lineRule="auto"/>
        <w:keepNext/>
        <w:pBdr>
          <w:bottom w:val="single" w:sz="6" w:space="2" w:color="C9D2DF"/>
        </w:pBdr>
      </w:pPr>
      <w:r>
        <w:rPr>
          <w:rFonts w:ascii="Arial" w:hAnsi="Arial" w:eastAsia="Arial"/>
          <w:b/>
          <w:i w:val="0"/>
          <w:color w:val="0A2F5C"/>
          <w:sz w:val="22"/>
        </w:rPr>
        <w:t>2. DETALLE DE LAS NORMAS</w:t>
      </w:r>
    </w:p>
    <w:p>
      <w:pPr>
        <w:keepNext/>
        <w:spacing w:before="160" w:after="80" w:line="276" w:lineRule="auto"/>
      </w:pPr>
      <w:r>
        <w:rPr>
          <w:rFonts w:ascii="Arial" w:hAnsi="Arial" w:eastAsia="Arial"/>
          <w:b/>
          <w:i w:val="0"/>
          <w:color w:val="0B5CAD"/>
          <w:sz w:val="21"/>
        </w:rPr>
        <w:t>2.1  Normatividad presupuestal</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1.  RESOLUCIÓN  N° 132-2026-CONCYTEC-P</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CONSEJO NACIONAL DE CIENCIA, TECNOLOGÍA E INNOVACIÓN TECNOLÓGICA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25/09/2026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transferencias financieras a entidades públicas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Aprobar las transferencias financieras a entidades públicas, por la suma de S/ 11’697,985.00 (Once Millones Seiscientos Noventa y Siete Mil Novecientos Ochenta y Cinco y 00/100 Soles), en el marco de lo dispuesto por la Duodécima Disposición Complementaria Final de la Ley N° 31250, Ley del Sistema Nacional de Ciencia, Tecnología e Innovación, conforme al siguiente detalle: N ° Tipo Proyecto o Programa Denominación Institución N° de Convenio o Contrato Monto Total del desembolso S/ (En soles) 1 Transferencias financieras a entidades públicas Proyecto Doctorado en ciencias con mención en física UNIVERSIDAD NACIONAL DE INGENIERÍA PE501084296-2023-PROCIENCIA-BM 500,000.00 2…</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11’697,985.00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1">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17">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18">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2.  DECRETO SUPREMO  N° 200-2026-EF</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ECONOMÍA Y FINANZAS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25/09/2026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Decreto Supremo que autoriza Transferencia de Partidas en el Presupuesto del Sector Público para el Año Fiscal 2026 a favor de la Reserva de Contingencia y del Organismo Técnico de la Administración de los Servicios de Saneamiento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Transferencia de Partidas a favor de la Reserva de Contingencia Se autoriza una Transferencia de Partidas en el Presupuesto del Sector Público para el Año Fiscal 2026, hasta por la suma de S/ 4 333 241,00 (CUATRO MILLONES TRESCIENTOS TREINTA Y TRES MIL DOSCIENTOS CUARENTA Y UNO Y 00/100 SOLES), por la fuente de financiamiento de Recursos Ordinarios, a favor de la Reserva de Contingencia del Ministerio de Economía y Finanzas, con cargo a los recursos del presupuesto institucional del Organismo Técnico de la Administración de los Servicios de Saneamiento, en el marco de lo establecido en la Décima Cuarta Disposición Complementaria Final de la Ley N° 32513, Ley de Presupuesto del…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4 333 241,00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2">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19">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0">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3.  DECRETO SUPREMO  N° 201-2026-EF</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ECONOMÍA Y FINANZAS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25/09/2026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Decreto Supremo que autoriza Transferencia de Partidas en el Presupuesto del Sector Público para el Año Fiscal 2026 a favor de diversos Gobiernos Regionales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Objeto 1.1 Se autoriza una Transferencia de Partidas en el Presupuesto del Sector Público para el Año Fiscal 2026, hasta por la suma de S/ 31 697 151,00 (TREINTA Y UN MILLONES SEISCIENTOS NOVENTA Y SIETE MIL CIENTO CINCUENTA Y UNO Y 00/100 SOLES), por la fuente de financiamiento Recursos Ordinarios, a favor de diversos gobiernos regionales, para financiar el costo diferencial que implica el pago de encargaturas correspondientes a la asignación por jornada de trabajo adicional y a la asignación por cargo para los profesores que temporalmente asuman cargos de responsabilidad, previstos en las áreas de desempeño laboral establecidas en el artículo 12 de la Ley N° 29944, Ley de…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587 272 027,00 · S/ 31 697 151,00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3">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1">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2">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4.  ACUERDO  N° 171-2026-GRA/CR</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GOBIERNO REGIONAL DE ANCASH</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25/09/2026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 · 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Autorizan transferencia financiera a favor de Municipalidades Provinciales y Distritales del departamento de Áncash para el financiamiento de proyectos de inversión</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Primero .- AUTORIZAR, previa suscripción de los convenios correspondientes, la transferencia financiera a favor de Municipalidades Provinciales y Distritales del Departamento de Ancash, hasta por la suma de S/ 150 000 000,00 (Ciento cincuenta millones con 00/100 soles) , con cargo a la fuente de financiamiento 4 Donaciones y Transferencias, rubro 13 Donaciones y Transferencias, por el por el importe de S/ 27,926,739.00 y en la fuente de financiamiento 5 Recursos Determinados, rubro 18 Canon, Sobrecanon, Regalías, Renta de Aduanas y Participaciones, por el importe de S/ 122,073,261.00 destinada al financiamiento de los proyectos de inversión priorizados mediante Resolución Gerencial…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150,000,000.00 · S/ 27,926,739.00 · S/ 41,440,207.00 · S/ 98,946,459.00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4">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3">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4">
              <w:r>
                <w:rPr>
                  <w:rFonts w:ascii="Arial" w:hAnsi="Arial" w:eastAsia="Arial" w:cs="Arial"/>
                  <w:color w:val="0B5CAD"/>
                  <w:sz w:val="17"/>
                  <w:u w:val="single"/>
                </w:rPr>
                <w:t xml:space="preserve">PDF</w:t>
              </w:r>
            </w:hyperlink>
          </w:p>
        </w:tc>
      </w:tr>
    </w:tbl>
    <w:p>
      <w:pPr>
        <w:spacing w:before="0" w:after="120" w:line="276" w:lineRule="auto"/>
      </w:pPr>
    </w:p>
    <w:p>
      <w:pPr>
        <w:keepNext/>
        <w:spacing w:before="160" w:after="80" w:line="276" w:lineRule="auto"/>
      </w:pPr>
      <w:r>
        <w:rPr>
          <w:rFonts w:ascii="Arial" w:hAnsi="Arial" w:eastAsia="Arial"/>
          <w:b/>
          <w:i w:val="0"/>
          <w:color w:val="0B5CAD"/>
          <w:sz w:val="21"/>
        </w:rPr>
        <w:t>2.2  Inversiones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5.  RESOLUCIÓN  N° 000120-2026-CD/OSIPTEL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ORGANISMO SUPERVISOR DE INVERSIÓN PRIVADA EN TELECOMUNICACIONES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25/09/2026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Mandato de Interconexión entre las empresas concesionarias América Móvil Perú S.A.C. y Entel Perú S.A.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Aprobar el Mandato de Interconexión, correspondiente al procedimiento tramitado bajo el Expediente N° 00011-2025-CD-DPRC/MI, entre las empresas concesionarias América Móvil Perú S.A.C. y Entel Perú S.A., a efectos de establecer las condiciones que permitan incorporar el protocolo de señalización SIP ( Session Initiation Protocol ) en la relación de interconexión vigente entre ambas empresas, conforme al contenido del anexo del Informe N° 000188-2026-DPRC/OSIPTEL. Artículo 2.- El Mandato de Interconexión que se aprueba en el artículo 1 de la presente resolución, entra en vigencia al día siguiente de la publicación de la presente resolución en el Diario Oficial El Peruano.…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5">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5">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6">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6.  RESOLUCIÓN  N° 000123-2026-CD/OSIPTEL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ORGANISMO SUPERVISOR DE INVERSIÓN PRIVADA EN TELECOMUNICACIONES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25/09/2026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Proyecto de Mandato que modifica la relación de provisión de facilidades de red entre Mayu Telecomunicaciones S.A.C. e Integratel Perú S.A.A. correspondiente al procedimiento tramitado en el Expediente N° 00001-2026-CD-DPRC/MOIR</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 Aprobar el Proyecto de Mandato que modifica la relación de provisión de facilidades de red entre Mayu Telecomunicaciones S.A.C. e Integratel Perú S.A.A., correspondiente al procedimiento tramitado en el Expediente N° 00001-2026-CD-DPRC/MOIR, contenido en el Anexo del Informe N° 000190-2026-DPRC/OSIPTEL. Artículo 2 .- Otorgar un plazo máximo de diez (10) días calendario, contado a partir del día siguiente de notificada la presente Resolución, para que Mayu Telecomunicaciones S.A.C. e Integratel Perú S.A.A. remitan sus respectivos comentarios al Proyecto de Mandato a que se refiere el artículo precedente. Artículo 3 .- Aprobar un Mandato Provisional de Provisión de Facilidades…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6">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7">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8">
              <w:r>
                <w:rPr>
                  <w:rFonts w:ascii="Arial" w:hAnsi="Arial" w:eastAsia="Arial" w:cs="Arial"/>
                  <w:color w:val="0B5CAD"/>
                  <w:sz w:val="17"/>
                  <w:u w:val="single"/>
                </w:rPr>
                <w:t xml:space="preserve">PDF</w:t>
              </w:r>
            </w:hyperlink>
          </w:p>
        </w:tc>
      </w:tr>
    </w:tbl>
    <w:p>
      <w:pPr>
        <w:spacing w:before="0" w:after="120" w:line="276" w:lineRule="auto"/>
      </w:pPr>
    </w:p>
    <w:p>
      <w:pPr>
        <w:spacing w:before="200" w:after="0" w:line="276" w:lineRule="auto"/>
        <w:jc w:val="both"/>
        <w:pBdr>
          <w:top w:val="single" w:sz="4" w:space="4" w:color="C9D2DF"/>
        </w:pBdr>
      </w:pPr>
      <w:r>
        <w:rPr>
          <w:rFonts w:ascii="Arial" w:hAnsi="Arial" w:eastAsia="Arial"/>
          <w:b/>
          <w:i w:val="0"/>
          <w:color w:val="5B6880"/>
          <w:sz w:val="15"/>
        </w:rPr>
        <w:t xml:space="preserve">Nota metodológica: </w:t>
      </w:r>
      <w:r>
        <w:rPr>
          <w:rFonts w:ascii="Arial" w:hAnsi="Arial" w:eastAsia="Arial"/>
          <w:b w:val="0"/>
          <w:i w:val="0"/>
          <w:color w:val="5B6880"/>
          <w:sz w:val="15"/>
        </w:rPr>
        <w:t xml:space="preserve">se revisan todas las normas publicadas en el Diario Oficial El Peruano en el periodo. Una norma se selecciona cuando su entidad, título o sumilla contiene alguno de los términos definidos para cada tema, o cuando su texto completo menciona a la ATU. Los criterios pueden consultarse y editarse en el panel: </w:t>
      </w:r>
      <w:hyperlink r:id="rId29">
        <w:r>
          <w:rPr>
            <w:rFonts w:ascii="Arial" w:hAnsi="Arial" w:eastAsia="Arial" w:cs="Arial"/>
            <w:color w:val="0B5CAD"/>
            <w:sz w:val="15"/>
            <w:u w:val="single"/>
          </w:rPr>
          <w:t xml:space="preserve">reneearmasr.github.io/monitor-normas-elperuano</w:t>
        </w:r>
      </w:hyperlink>
    </w:p>
    <w:sectPr w:rsidR="00FC693F" w:rsidRPr="0006063C" w:rsidSect="00034616">
      <w:headerReference w:type="default" r:id="rId9"/>
      <w:footerReference w:type="default" r:id="rId10"/>
      <w:pgSz w:w="11906" w:h="16838"/>
      <w:pgMar w:top="1361"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411" w:val="right"/>
      </w:tabs>
      <w:pBdr>
        <w:top w:val="single" w:sz="6" w:space="4" w:color="C9D2DF"/>
      </w:pBdr>
    </w:pPr>
    <w:r>
      <w:rPr>
        <w:rFonts w:ascii="Arial" w:hAnsi="Arial" w:eastAsia="Arial"/>
        <w:b w:val="0"/>
        <w:i w:val="0"/>
        <w:color w:val="5B6880"/>
        <w:sz w:val="15"/>
      </w:rPr>
      <w:t>Fuente: Diario Oficial El Peruano · Elaboración automática</w:t>
    </w:r>
    <w:r>
      <w:rPr>
        <w:rFonts w:ascii="Arial" w:hAnsi="Arial" w:eastAsia="Arial"/>
        <w:b w:val="0"/>
        <w:i w:val="0"/>
        <w:color w:val="5B6880"/>
        <w:sz w:val="15"/>
      </w:rPr>
      <w:tab/>
      <w:t xml:space="preserve">Página </w:t>
    </w:r>
    <w:r>
      <w:rPr>
        <w:rFonts w:ascii="Arial" w:hAnsi="Arial" w:eastAsia="Arial"/>
        <w:b w:val="0"/>
        <w:i w:val="0"/>
        <w:color w:val="5B6880"/>
        <w:sz w:val="15"/>
      </w:rPr>
      <w:fldChar w:fldCharType="begin"/>
      <w:instrText xml:space="preserve"> PAGE </w:instrText>
      <w:fldChar w:fldCharType="separate"/>
      <w:t>1</w:t>
      <w:fldChar w:fldCharType="end"/>
    </w:r>
    <w:r>
      <w:rPr>
        <w:rFonts w:ascii="Arial" w:hAnsi="Arial" w:eastAsia="Arial"/>
        <w:b w:val="0"/>
        <w:i w:val="0"/>
        <w:color w:val="5B6880"/>
        <w:sz w:val="15"/>
      </w:rPr>
      <w:t xml:space="preserve"> de </w:t>
    </w:r>
    <w:r>
      <w:rPr>
        <w:rFonts w:ascii="Arial" w:hAnsi="Arial" w:eastAsia="Arial"/>
        <w:b w:val="0"/>
        <w:i w:val="0"/>
        <w:color w:val="5B6880"/>
        <w:sz w:val="15"/>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8" w:space="4" w:color="0A2F5C"/>
      </w:pBdr>
    </w:pPr>
    <w:r>
      <w:rPr>
        <w:rFonts w:ascii="Arial" w:hAnsi="Arial" w:eastAsia="Arial"/>
        <w:b/>
        <w:i w:val="0"/>
        <w:color w:val="0A2F5C"/>
        <w:sz w:val="15"/>
      </w:rPr>
      <w:t>AUTORIDAD DE TRANSPORTE URBANO PARA LIMA Y CALLAO</w:t>
    </w:r>
    <w:r>
      <w:rPr>
        <w:rFonts w:ascii="Arial" w:hAnsi="Arial" w:eastAsia="Arial"/>
        <w:b w:val="0"/>
        <w:i w:val="0"/>
        <w:color w:val="5B6880"/>
        <w:sz w:val="15"/>
      </w:rPr>
      <w:tab/>
      <w:t>Monitor de Normas Legales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usquedas.elperuano.pe/api/visor_html/2558144-1" TargetMode="External"/><Relationship Id="rId12" Type="http://schemas.openxmlformats.org/officeDocument/2006/relationships/hyperlink" Target="https://busquedas.elperuano.pe/api/visor_html/2558275-1" TargetMode="External"/><Relationship Id="rId13" Type="http://schemas.openxmlformats.org/officeDocument/2006/relationships/hyperlink" Target="https://busquedas.elperuano.pe/api/visor_html/2558275-2" TargetMode="External"/><Relationship Id="rId14" Type="http://schemas.openxmlformats.org/officeDocument/2006/relationships/hyperlink" Target="https://busquedas.elperuano.pe/api/visor_html/2558266-1" TargetMode="External"/><Relationship Id="rId15" Type="http://schemas.openxmlformats.org/officeDocument/2006/relationships/hyperlink" Target="https://busquedas.elperuano.pe/api/visor_html/2557445-1" TargetMode="External"/><Relationship Id="rId16" Type="http://schemas.openxmlformats.org/officeDocument/2006/relationships/hyperlink" Target="https://busquedas.elperuano.pe/api/visor_html/2557454-1" TargetMode="External"/><Relationship Id="rId17" Type="http://schemas.openxmlformats.org/officeDocument/2006/relationships/hyperlink" Target="https://busquedas.elperuano.pe/dispositivo/NL/2558144-1" TargetMode="External"/><Relationship Id="rId18" Type="http://schemas.openxmlformats.org/officeDocument/2006/relationships/hyperlink" Target="https://busquedas.elperuano.pe/dispositivo/NL/2558144-1/pdf" TargetMode="External"/><Relationship Id="rId19" Type="http://schemas.openxmlformats.org/officeDocument/2006/relationships/hyperlink" Target="https://busquedas.elperuano.pe/dispositivo/NL/2558275-1" TargetMode="External"/><Relationship Id="rId20" Type="http://schemas.openxmlformats.org/officeDocument/2006/relationships/hyperlink" Target="https://busquedas.elperuano.pe/dispositivo/NL/2558275-1/pdf" TargetMode="External"/><Relationship Id="rId21" Type="http://schemas.openxmlformats.org/officeDocument/2006/relationships/hyperlink" Target="https://busquedas.elperuano.pe/dispositivo/NL/2558275-2" TargetMode="External"/><Relationship Id="rId22" Type="http://schemas.openxmlformats.org/officeDocument/2006/relationships/hyperlink" Target="https://busquedas.elperuano.pe/dispositivo/NL/2558275-2/pdf" TargetMode="External"/><Relationship Id="rId23" Type="http://schemas.openxmlformats.org/officeDocument/2006/relationships/hyperlink" Target="https://busquedas.elperuano.pe/dispositivo/NL/2558266-1" TargetMode="External"/><Relationship Id="rId24" Type="http://schemas.openxmlformats.org/officeDocument/2006/relationships/hyperlink" Target="https://busquedas.elperuano.pe/dispositivo/NL/2558266-1/pdf" TargetMode="External"/><Relationship Id="rId25" Type="http://schemas.openxmlformats.org/officeDocument/2006/relationships/hyperlink" Target="https://busquedas.elperuano.pe/dispositivo/NL/2557445-1" TargetMode="External"/><Relationship Id="rId26" Type="http://schemas.openxmlformats.org/officeDocument/2006/relationships/hyperlink" Target="https://busquedas.elperuano.pe/dispositivo/NL/2557445-1/pdf" TargetMode="External"/><Relationship Id="rId27" Type="http://schemas.openxmlformats.org/officeDocument/2006/relationships/hyperlink" Target="https://busquedas.elperuano.pe/dispositivo/NL/2557454-1" TargetMode="External"/><Relationship Id="rId28" Type="http://schemas.openxmlformats.org/officeDocument/2006/relationships/hyperlink" Target="https://busquedas.elperuano.pe/dispositivo/NL/2557454-1/pdf" TargetMode="External"/><Relationship Id="rId29" Type="http://schemas.openxmlformats.org/officeDocument/2006/relationships/hyperlink" Target="https://reneearmasr.github.io/monitor-normas-elperua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