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eastAsia="Arial"/>
          <w:b/>
          <w:i w:val="0"/>
          <w:color w:val="0A2F5C"/>
          <w:sz w:val="36"/>
        </w:rPr>
        <w:t>RESUMEN DE NORMAS LEGALES</w:t>
      </w:r>
    </w:p>
    <w:p>
      <w:pPr>
        <w:spacing w:before="0" w:after="40" w:line="276" w:lineRule="auto"/>
        <w:jc w:val="center"/>
      </w:pPr>
      <w:r>
        <w:rPr>
          <w:rFonts w:ascii="Arial" w:hAnsi="Arial" w:eastAsia="Arial"/>
          <w:b w:val="0"/>
          <w:i w:val="0"/>
          <w:color w:val="5B6880"/>
          <w:sz w:val="21"/>
        </w:rPr>
        <w:t>Diario Oficial El Peruano · Martes 29 de septiembre de 2026</w:t>
      </w:r>
    </w:p>
    <w:p>
      <w:pPr>
        <w:spacing w:before="0" w:after="200" w:line="276" w:lineRule="auto"/>
        <w:pBdr>
          <w:bottom w:val="single" w:sz="18" w:space="1" w:color="0A2F5C"/>
        </w:pBdr>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c>
          <w:tcPr>
            <w:tcW w:type="dxa" w:w="2041"/>
            <w:shd w:val="clear" w:color="auto" w:fill="F2F5FA"/>
          </w:tcPr>
          <w:p>
            <w:pPr>
              <w:spacing w:before="20" w:after="20" w:line="264" w:lineRule="auto"/>
            </w:pPr>
            <w:r>
              <w:rPr>
                <w:rFonts w:ascii="Arial" w:hAnsi="Arial" w:eastAsia="Arial"/>
                <w:b/>
                <w:i w:val="0"/>
                <w:color w:val="0A2F5C"/>
                <w:sz w:val="17"/>
              </w:rPr>
              <w:t>Periodo revisado</w:t>
            </w:r>
          </w:p>
        </w:tc>
        <w:tc>
          <w:tcPr>
            <w:tcW w:type="dxa" w:w="2665"/>
          </w:tcPr>
          <w:p>
            <w:pPr>
              <w:spacing w:before="20" w:after="20" w:line="264" w:lineRule="auto"/>
            </w:pPr>
            <w:r>
              <w:rPr>
                <w:rFonts w:ascii="Arial" w:hAnsi="Arial" w:eastAsia="Arial"/>
                <w:b w:val="0"/>
                <w:i w:val="0"/>
                <w:sz w:val="19"/>
              </w:rPr>
              <w:t>29/09/2026</w:t>
            </w:r>
          </w:p>
        </w:tc>
        <w:tc>
          <w:tcPr>
            <w:tcW w:type="dxa" w:w="2041"/>
            <w:shd w:val="clear" w:color="auto" w:fill="F2F5FA"/>
          </w:tcPr>
          <w:p>
            <w:pPr>
              <w:spacing w:before="20" w:after="20" w:line="264" w:lineRule="auto"/>
            </w:pPr>
            <w:r>
              <w:rPr>
                <w:rFonts w:ascii="Arial" w:hAnsi="Arial" w:eastAsia="Arial"/>
                <w:b/>
                <w:i w:val="0"/>
                <w:color w:val="0A2F5C"/>
                <w:sz w:val="17"/>
              </w:rPr>
              <w:t>Fecha de elaboración</w:t>
            </w:r>
          </w:p>
        </w:tc>
        <w:tc>
          <w:tcPr>
            <w:tcW w:type="dxa" w:w="2665"/>
          </w:tcPr>
          <w:p>
            <w:pPr>
              <w:spacing w:before="20" w:after="20" w:line="264" w:lineRule="auto"/>
            </w:pPr>
            <w:r>
              <w:rPr>
                <w:rFonts w:ascii="Arial" w:hAnsi="Arial" w:eastAsia="Arial"/>
                <w:b w:val="0"/>
                <w:i w:val="0"/>
                <w:sz w:val="19"/>
              </w:rPr>
              <w:t>27/10/2026 11:04</w:t>
            </w:r>
          </w:p>
        </w:tc>
      </w:tr>
      <w:tr>
        <w:tc>
          <w:tcPr>
            <w:tcW w:type="dxa" w:w="2041"/>
            <w:shd w:val="clear" w:color="auto" w:fill="F2F5FA"/>
          </w:tcPr>
          <w:p>
            <w:pPr>
              <w:spacing w:before="20" w:after="20" w:line="264" w:lineRule="auto"/>
            </w:pPr>
            <w:r>
              <w:rPr>
                <w:rFonts w:ascii="Arial" w:hAnsi="Arial" w:eastAsia="Arial"/>
                <w:b/>
                <w:i w:val="0"/>
                <w:color w:val="0A2F5C"/>
                <w:sz w:val="17"/>
              </w:rPr>
              <w:t>Normas publicadas</w:t>
            </w:r>
          </w:p>
        </w:tc>
        <w:tc>
          <w:tcPr>
            <w:tcW w:type="dxa" w:w="2665"/>
          </w:tcPr>
          <w:p>
            <w:pPr>
              <w:spacing w:before="20" w:after="20" w:line="264" w:lineRule="auto"/>
            </w:pPr>
            <w:r>
              <w:rPr>
                <w:rFonts w:ascii="Arial" w:hAnsi="Arial" w:eastAsia="Arial"/>
                <w:b w:val="0"/>
                <w:i w:val="0"/>
                <w:sz w:val="19"/>
              </w:rPr>
              <w:t>76</w:t>
            </w:r>
          </w:p>
        </w:tc>
        <w:tc>
          <w:tcPr>
            <w:tcW w:type="dxa" w:w="2041"/>
            <w:shd w:val="clear" w:color="auto" w:fill="F2F5FA"/>
          </w:tcPr>
          <w:p>
            <w:pPr>
              <w:spacing w:before="20" w:after="20" w:line="264" w:lineRule="auto"/>
            </w:pPr>
            <w:r>
              <w:rPr>
                <w:rFonts w:ascii="Arial" w:hAnsi="Arial" w:eastAsia="Arial"/>
                <w:b/>
                <w:i w:val="0"/>
                <w:color w:val="0A2F5C"/>
                <w:sz w:val="17"/>
              </w:rPr>
              <w:t>Normas de interés</w:t>
            </w:r>
          </w:p>
        </w:tc>
        <w:tc>
          <w:tcPr>
            <w:tcW w:type="dxa" w:w="2665"/>
          </w:tcPr>
          <w:p>
            <w:pPr>
              <w:spacing w:before="20" w:after="20" w:line="264" w:lineRule="auto"/>
            </w:pPr>
            <w:r>
              <w:rPr>
                <w:rFonts w:ascii="Arial" w:hAnsi="Arial" w:eastAsia="Arial"/>
                <w:b/>
                <w:i w:val="0"/>
                <w:color w:val="0A2F5C"/>
                <w:sz w:val="19"/>
              </w:rPr>
              <w:t>7</w:t>
            </w:r>
          </w:p>
        </w:tc>
      </w:tr>
    </w:tbl>
    <w:p>
      <w:pPr>
        <w:spacing w:before="280" w:after="120" w:line="276" w:lineRule="auto"/>
        <w:keepNext/>
        <w:pBdr>
          <w:bottom w:val="single" w:sz="6" w:space="2" w:color="C9D2DF"/>
        </w:pBdr>
      </w:pPr>
      <w:r>
        <w:rPr>
          <w:rFonts w:ascii="Arial" w:hAnsi="Arial" w:eastAsia="Arial"/>
          <w:b/>
          <w:i w:val="0"/>
          <w:color w:val="0A2F5C"/>
          <w:sz w:val="22"/>
        </w:rPr>
        <w:t>1. RESUMEN EJECUTIVO</w:t>
      </w:r>
    </w:p>
    <w:p>
      <w:pPr>
        <w:spacing w:before="0" w:after="160" w:line="276" w:lineRule="auto"/>
        <w:jc w:val="both"/>
      </w:pPr>
      <w:r>
        <w:rPr>
          <w:rFonts w:ascii="Arial" w:hAnsi="Arial" w:eastAsia="Arial"/>
          <w:b w:val="0"/>
          <w:i w:val="0"/>
          <w:sz w:val="20"/>
        </w:rPr>
        <w:t>De las 76 normas publicadas en el periodo, 7 resultan de interés institucional: 5 de normatividad presupuestal y 2 de inversiones. No se identificaron normas que involucren a la ATU. El Cuadro 1 presenta la relación completa y la sección 2, el detalle de cada norma.</w:t>
      </w:r>
    </w:p>
    <w:p>
      <w:pPr>
        <w:keepNext/>
        <w:spacing w:before="80" w:after="60" w:line="276" w:lineRule="auto"/>
      </w:pPr>
      <w:r>
        <w:rPr>
          <w:rFonts w:ascii="Arial" w:hAnsi="Arial" w:eastAsia="Arial"/>
          <w:b/>
          <w:i w:val="0"/>
          <w:color w:val="0A2F5C"/>
          <w:sz w:val="18"/>
        </w:rPr>
        <w:t>Cuadro 1. Normas de interés identificadas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rPr>
          <w:cantSplit/>
          <w:tblHeader/>
        </w:trPr>
        <w:tc>
          <w:tcPr>
            <w:tcW w:type="dxa" w:w="567"/>
            <w:shd w:val="clear" w:color="auto" w:fill="0A2F5C"/>
          </w:tcPr>
          <w:p>
            <w:pPr>
              <w:spacing w:before="20" w:after="20" w:line="264" w:lineRule="auto"/>
              <w:jc w:val="center"/>
            </w:pPr>
            <w:r>
              <w:rPr>
                <w:rFonts w:ascii="Arial" w:hAnsi="Arial" w:eastAsia="Arial"/>
                <w:b/>
                <w:i w:val="0"/>
                <w:color w:val="FFFFFF"/>
                <w:sz w:val="17"/>
              </w:rPr>
              <w:t>N.°</w:t>
            </w:r>
          </w:p>
        </w:tc>
        <w:tc>
          <w:tcPr>
            <w:tcW w:type="dxa" w:w="2835"/>
            <w:shd w:val="clear" w:color="auto" w:fill="0A2F5C"/>
          </w:tcPr>
          <w:p>
            <w:pPr>
              <w:spacing w:before="20" w:after="20" w:line="264" w:lineRule="auto"/>
              <w:jc w:val="center"/>
            </w:pPr>
            <w:r>
              <w:rPr>
                <w:rFonts w:ascii="Arial" w:hAnsi="Arial" w:eastAsia="Arial"/>
                <w:b/>
                <w:i w:val="0"/>
                <w:color w:val="FFFFFF"/>
                <w:sz w:val="17"/>
              </w:rPr>
              <w:t>Norma y entidad emisora</w:t>
            </w:r>
          </w:p>
        </w:tc>
        <w:tc>
          <w:tcPr>
            <w:tcW w:type="dxa" w:w="4762"/>
            <w:shd w:val="clear" w:color="auto" w:fill="0A2F5C"/>
          </w:tcPr>
          <w:p>
            <w:pPr>
              <w:spacing w:before="20" w:after="20" w:line="264" w:lineRule="auto"/>
              <w:jc w:val="center"/>
            </w:pPr>
            <w:r>
              <w:rPr>
                <w:rFonts w:ascii="Arial" w:hAnsi="Arial" w:eastAsia="Arial"/>
                <w:b/>
                <w:i w:val="0"/>
                <w:color w:val="FFFFFF"/>
                <w:sz w:val="17"/>
              </w:rPr>
              <w:t>Sumilla</w:t>
            </w:r>
          </w:p>
        </w:tc>
        <w:tc>
          <w:tcPr>
            <w:tcW w:type="dxa" w:w="1247"/>
            <w:shd w:val="clear" w:color="auto" w:fill="0A2F5C"/>
          </w:tcPr>
          <w:p>
            <w:pPr>
              <w:spacing w:before="20" w:after="20" w:line="264" w:lineRule="auto"/>
              <w:jc w:val="center"/>
            </w:pPr>
            <w:r>
              <w:rPr>
                <w:rFonts w:ascii="Arial" w:hAnsi="Arial" w:eastAsia="Arial"/>
                <w:b/>
                <w:i w:val="0"/>
                <w:color w:val="FFFFFF"/>
                <w:sz w:val="17"/>
              </w:rPr>
              <w:t>Publicación</w:t>
            </w:r>
          </w:p>
        </w:tc>
      </w:tr>
      <w:tr>
        <w:trPr>
          <w:cantSplit/>
        </w:trPr>
        <w:tc>
          <w:tcPr>
            <w:tcW w:type="dxa" w:w="1247"/>
            <w:gridSpan w:val="4"/>
            <w:shd w:val="clear" w:color="auto" w:fill="F2F5FA"/>
            <w:tcBorders>
              <w:left w:val="single" w:sz="30" w:space="0" w:color="EB6834"/>
            </w:tcBorders>
          </w:tcPr>
          <w:p>
            <w:pPr>
              <w:spacing w:before="20" w:after="20" w:line="264" w:lineRule="auto"/>
            </w:pPr>
            <w:r>
              <w:rPr>
                <w:rFonts w:ascii="Arial" w:hAnsi="Arial" w:eastAsia="Arial"/>
                <w:b/>
                <w:i w:val="0"/>
                <w:color w:val="0A2F5C"/>
                <w:sz w:val="17"/>
              </w:rPr>
              <w:t>NORMATIVIDAD PRESUPUESTAL  (5)</w:t>
            </w:r>
          </w:p>
        </w:tc>
      </w:tr>
      <w:tr>
        <w:trPr>
          <w:cantSplit/>
        </w:trPr>
        <w:tc>
          <w:tcPr>
            <w:tcW w:type="dxa" w:w="567"/>
          </w:tcPr>
          <w:p>
            <w:pPr>
              <w:spacing w:before="20" w:after="20" w:line="264" w:lineRule="auto"/>
              <w:jc w:val="center"/>
            </w:pPr>
            <w:r>
              <w:rPr>
                <w:rFonts w:ascii="Arial" w:hAnsi="Arial" w:eastAsia="Arial"/>
                <w:b/>
                <w:i w:val="0"/>
                <w:color w:val="0A2F5C"/>
                <w:sz w:val="18"/>
              </w:rPr>
              <w:t>1</w:t>
            </w:r>
          </w:p>
        </w:tc>
        <w:tc>
          <w:tcPr>
            <w:tcW w:type="dxa" w:w="2835"/>
          </w:tcPr>
          <w:p>
            <w:pPr>
              <w:spacing w:before="20" w:after="20" w:line="264" w:lineRule="auto"/>
            </w:pPr>
            <w:hyperlink r:id="rId11">
              <w:r>
                <w:rPr>
                  <w:rFonts w:ascii="Arial" w:hAnsi="Arial" w:eastAsia="Arial" w:cs="Arial"/>
                  <w:b/>
                  <w:color w:val="0B5CAD"/>
                  <w:sz w:val="17"/>
                  <w:u w:val="single"/>
                </w:rPr>
                <w:t xml:space="preserve">RESOLUCIÓN DIRECTORAL  N° 096-2026/APCI-DE</w:t>
              </w:r>
            </w:hyperlink>
          </w:p>
          <w:p>
            <w:pPr>
              <w:spacing w:before="0" w:after="20" w:line="252" w:lineRule="auto"/>
            </w:pPr>
            <w:r>
              <w:rPr>
                <w:rFonts w:ascii="Arial" w:hAnsi="Arial" w:eastAsia="Arial"/>
                <w:b w:val="0"/>
                <w:i w:val="0"/>
                <w:color w:val="5B6880"/>
                <w:sz w:val="15"/>
              </w:rPr>
              <w:t>AGENCIA PERUANA DE COOPERACIÓN INTERNACIONAL</w:t>
            </w:r>
          </w:p>
        </w:tc>
        <w:tc>
          <w:tcPr>
            <w:tcW w:type="dxa" w:w="4762"/>
          </w:tcPr>
          <w:p>
            <w:pPr>
              <w:spacing w:before="20" w:after="20" w:line="264" w:lineRule="auto"/>
            </w:pPr>
            <w:r>
              <w:rPr>
                <w:rFonts w:ascii="Arial" w:hAnsi="Arial" w:eastAsia="Arial"/>
                <w:b w:val="0"/>
                <w:i w:val="0"/>
                <w:sz w:val="17"/>
              </w:rPr>
              <w:t>Disponen incorporación y designación de Jefe de la Oficina de Planeamiento y Presupuesto de la Agencia Peruana de Cooperación Internacional (APCI)</w:t>
            </w:r>
          </w:p>
        </w:tc>
        <w:tc>
          <w:tcPr>
            <w:tcW w:type="dxa" w:w="1247"/>
          </w:tcPr>
          <w:p>
            <w:pPr>
              <w:spacing w:before="20" w:after="20" w:line="264" w:lineRule="auto"/>
              <w:jc w:val="center"/>
            </w:pPr>
            <w:r>
              <w:rPr>
                <w:rFonts w:ascii="Arial" w:hAnsi="Arial" w:eastAsia="Arial"/>
                <w:b w:val="0"/>
                <w:i w:val="0"/>
                <w:sz w:val="17"/>
              </w:rPr>
              <w:t>29/09/2026</w:t>
            </w:r>
          </w:p>
        </w:tc>
      </w:tr>
      <w:tr>
        <w:trPr>
          <w:cantSplit/>
        </w:trPr>
        <w:tc>
          <w:tcPr>
            <w:tcW w:type="dxa" w:w="567"/>
          </w:tcPr>
          <w:p>
            <w:pPr>
              <w:spacing w:before="20" w:after="20" w:line="264" w:lineRule="auto"/>
              <w:jc w:val="center"/>
            </w:pPr>
            <w:r>
              <w:rPr>
                <w:rFonts w:ascii="Arial" w:hAnsi="Arial" w:eastAsia="Arial"/>
                <w:b/>
                <w:i w:val="0"/>
                <w:color w:val="0A2F5C"/>
                <w:sz w:val="18"/>
              </w:rPr>
              <w:t>2</w:t>
            </w:r>
          </w:p>
        </w:tc>
        <w:tc>
          <w:tcPr>
            <w:tcW w:type="dxa" w:w="2835"/>
          </w:tcPr>
          <w:p>
            <w:pPr>
              <w:spacing w:before="20" w:after="20" w:line="264" w:lineRule="auto"/>
            </w:pPr>
            <w:hyperlink r:id="rId12">
              <w:r>
                <w:rPr>
                  <w:rFonts w:ascii="Arial" w:hAnsi="Arial" w:eastAsia="Arial" w:cs="Arial"/>
                  <w:b/>
                  <w:color w:val="0B5CAD"/>
                  <w:sz w:val="17"/>
                  <w:u w:val="single"/>
                </w:rPr>
                <w:t xml:space="preserve">ACUERDO  N° 243-2026-GRJ/CR</w:t>
              </w:r>
            </w:hyperlink>
          </w:p>
          <w:p>
            <w:pPr>
              <w:spacing w:before="0" w:after="20" w:line="252" w:lineRule="auto"/>
            </w:pPr>
            <w:r>
              <w:rPr>
                <w:rFonts w:ascii="Arial" w:hAnsi="Arial" w:eastAsia="Arial"/>
                <w:b w:val="0"/>
                <w:i w:val="0"/>
                <w:color w:val="5B6880"/>
                <w:sz w:val="15"/>
              </w:rPr>
              <w:t>GOBIERNO REGIONAL DE JUNÍN</w:t>
            </w:r>
          </w:p>
        </w:tc>
        <w:tc>
          <w:tcPr>
            <w:tcW w:type="dxa" w:w="4762"/>
          </w:tcPr>
          <w:p>
            <w:pPr>
              <w:spacing w:before="20" w:after="20" w:line="264" w:lineRule="auto"/>
            </w:pPr>
            <w:r>
              <w:rPr>
                <w:rFonts w:ascii="Arial" w:hAnsi="Arial" w:eastAsia="Arial"/>
                <w:b w:val="0"/>
                <w:i w:val="0"/>
                <w:sz w:val="17"/>
              </w:rPr>
              <w:t>Autorizan aprobación de transferencia financiera a favor de la Municipalidad Distrital de Pichanaqui</w:t>
            </w:r>
          </w:p>
        </w:tc>
        <w:tc>
          <w:tcPr>
            <w:tcW w:type="dxa" w:w="1247"/>
          </w:tcPr>
          <w:p>
            <w:pPr>
              <w:spacing w:before="20" w:after="20" w:line="264" w:lineRule="auto"/>
              <w:jc w:val="center"/>
            </w:pPr>
            <w:r>
              <w:rPr>
                <w:rFonts w:ascii="Arial" w:hAnsi="Arial" w:eastAsia="Arial"/>
                <w:b w:val="0"/>
                <w:i w:val="0"/>
                <w:sz w:val="17"/>
              </w:rPr>
              <w:t>29/09/2026</w:t>
            </w:r>
          </w:p>
        </w:tc>
      </w:tr>
      <w:tr>
        <w:trPr>
          <w:cantSplit/>
        </w:trPr>
        <w:tc>
          <w:tcPr>
            <w:tcW w:type="dxa" w:w="567"/>
          </w:tcPr>
          <w:p>
            <w:pPr>
              <w:spacing w:before="20" w:after="20" w:line="264" w:lineRule="auto"/>
              <w:jc w:val="center"/>
            </w:pPr>
            <w:r>
              <w:rPr>
                <w:rFonts w:ascii="Arial" w:hAnsi="Arial" w:eastAsia="Arial"/>
                <w:b/>
                <w:i w:val="0"/>
                <w:color w:val="0A2F5C"/>
                <w:sz w:val="18"/>
              </w:rPr>
              <w:t>3</w:t>
            </w:r>
          </w:p>
        </w:tc>
        <w:tc>
          <w:tcPr>
            <w:tcW w:type="dxa" w:w="2835"/>
          </w:tcPr>
          <w:p>
            <w:pPr>
              <w:spacing w:before="20" w:after="20" w:line="264" w:lineRule="auto"/>
            </w:pPr>
            <w:hyperlink r:id="rId13">
              <w:r>
                <w:rPr>
                  <w:rFonts w:ascii="Arial" w:hAnsi="Arial" w:eastAsia="Arial" w:cs="Arial"/>
                  <w:b/>
                  <w:color w:val="0B5CAD"/>
                  <w:sz w:val="17"/>
                  <w:u w:val="single"/>
                </w:rPr>
                <w:t xml:space="preserve">ACUERDO  N° 000269-2026-GRP/CR</w:t>
              </w:r>
            </w:hyperlink>
          </w:p>
          <w:p>
            <w:pPr>
              <w:spacing w:before="0" w:after="20" w:line="252" w:lineRule="auto"/>
            </w:pPr>
            <w:r>
              <w:rPr>
                <w:rFonts w:ascii="Arial" w:hAnsi="Arial" w:eastAsia="Arial"/>
                <w:b w:val="0"/>
                <w:i w:val="0"/>
                <w:color w:val="5B6880"/>
                <w:sz w:val="15"/>
              </w:rPr>
              <w:t>GOBIERNO REGIONAL DE PUNO</w:t>
            </w:r>
          </w:p>
        </w:tc>
        <w:tc>
          <w:tcPr>
            <w:tcW w:type="dxa" w:w="4762"/>
          </w:tcPr>
          <w:p>
            <w:pPr>
              <w:spacing w:before="20" w:after="20" w:line="264" w:lineRule="auto"/>
            </w:pPr>
            <w:r>
              <w:rPr>
                <w:rFonts w:ascii="Arial" w:hAnsi="Arial" w:eastAsia="Arial"/>
                <w:b w:val="0"/>
                <w:i w:val="0"/>
                <w:sz w:val="17"/>
              </w:rPr>
              <w:t>Autorizan transferencia financiera a favor de la Municipalidad Distrital de Arapa</w:t>
            </w:r>
          </w:p>
        </w:tc>
        <w:tc>
          <w:tcPr>
            <w:tcW w:type="dxa" w:w="1247"/>
          </w:tcPr>
          <w:p>
            <w:pPr>
              <w:spacing w:before="20" w:after="20" w:line="264" w:lineRule="auto"/>
              <w:jc w:val="center"/>
            </w:pPr>
            <w:r>
              <w:rPr>
                <w:rFonts w:ascii="Arial" w:hAnsi="Arial" w:eastAsia="Arial"/>
                <w:b w:val="0"/>
                <w:i w:val="0"/>
                <w:sz w:val="17"/>
              </w:rPr>
              <w:t>29/09/2026</w:t>
            </w:r>
          </w:p>
        </w:tc>
      </w:tr>
      <w:tr>
        <w:trPr>
          <w:cantSplit/>
        </w:trPr>
        <w:tc>
          <w:tcPr>
            <w:tcW w:type="dxa" w:w="567"/>
          </w:tcPr>
          <w:p>
            <w:pPr>
              <w:spacing w:before="20" w:after="20" w:line="264" w:lineRule="auto"/>
              <w:jc w:val="center"/>
            </w:pPr>
            <w:r>
              <w:rPr>
                <w:rFonts w:ascii="Arial" w:hAnsi="Arial" w:eastAsia="Arial"/>
                <w:b/>
                <w:i w:val="0"/>
                <w:color w:val="0A2F5C"/>
                <w:sz w:val="18"/>
              </w:rPr>
              <w:t>4</w:t>
            </w:r>
          </w:p>
        </w:tc>
        <w:tc>
          <w:tcPr>
            <w:tcW w:type="dxa" w:w="2835"/>
          </w:tcPr>
          <w:p>
            <w:pPr>
              <w:spacing w:before="20" w:after="20" w:line="264" w:lineRule="auto"/>
            </w:pPr>
            <w:hyperlink r:id="rId14">
              <w:r>
                <w:rPr>
                  <w:rFonts w:ascii="Arial" w:hAnsi="Arial" w:eastAsia="Arial" w:cs="Arial"/>
                  <w:b/>
                  <w:color w:val="0B5CAD"/>
                  <w:sz w:val="17"/>
                  <w:u w:val="single"/>
                </w:rPr>
                <w:t xml:space="preserve">ACUERDO  N° 000270-2026-GRP/CR</w:t>
              </w:r>
            </w:hyperlink>
          </w:p>
          <w:p>
            <w:pPr>
              <w:spacing w:before="0" w:after="20" w:line="252" w:lineRule="auto"/>
            </w:pPr>
            <w:r>
              <w:rPr>
                <w:rFonts w:ascii="Arial" w:hAnsi="Arial" w:eastAsia="Arial"/>
                <w:b w:val="0"/>
                <w:i w:val="0"/>
                <w:color w:val="5B6880"/>
                <w:sz w:val="15"/>
              </w:rPr>
              <w:t>GOBIERNO REGIONAL DE PUNO</w:t>
            </w:r>
          </w:p>
        </w:tc>
        <w:tc>
          <w:tcPr>
            <w:tcW w:type="dxa" w:w="4762"/>
          </w:tcPr>
          <w:p>
            <w:pPr>
              <w:spacing w:before="20" w:after="20" w:line="264" w:lineRule="auto"/>
            </w:pPr>
            <w:r>
              <w:rPr>
                <w:rFonts w:ascii="Arial" w:hAnsi="Arial" w:eastAsia="Arial"/>
                <w:b w:val="0"/>
                <w:i w:val="0"/>
                <w:sz w:val="17"/>
              </w:rPr>
              <w:t>Autorizan transferencia financiera a favor de la Municipalidad Distrital de Acora</w:t>
            </w:r>
          </w:p>
        </w:tc>
        <w:tc>
          <w:tcPr>
            <w:tcW w:type="dxa" w:w="1247"/>
          </w:tcPr>
          <w:p>
            <w:pPr>
              <w:spacing w:before="20" w:after="20" w:line="264" w:lineRule="auto"/>
              <w:jc w:val="center"/>
            </w:pPr>
            <w:r>
              <w:rPr>
                <w:rFonts w:ascii="Arial" w:hAnsi="Arial" w:eastAsia="Arial"/>
                <w:b w:val="0"/>
                <w:i w:val="0"/>
                <w:sz w:val="17"/>
              </w:rPr>
              <w:t>29/09/2026</w:t>
            </w:r>
          </w:p>
        </w:tc>
      </w:tr>
      <w:tr>
        <w:trPr>
          <w:cantSplit/>
        </w:trPr>
        <w:tc>
          <w:tcPr>
            <w:tcW w:type="dxa" w:w="567"/>
          </w:tcPr>
          <w:p>
            <w:pPr>
              <w:spacing w:before="20" w:after="20" w:line="264" w:lineRule="auto"/>
              <w:jc w:val="center"/>
            </w:pPr>
            <w:r>
              <w:rPr>
                <w:rFonts w:ascii="Arial" w:hAnsi="Arial" w:eastAsia="Arial"/>
                <w:b/>
                <w:i w:val="0"/>
                <w:color w:val="0A2F5C"/>
                <w:sz w:val="18"/>
              </w:rPr>
              <w:t>5</w:t>
            </w:r>
          </w:p>
        </w:tc>
        <w:tc>
          <w:tcPr>
            <w:tcW w:type="dxa" w:w="2835"/>
          </w:tcPr>
          <w:p>
            <w:pPr>
              <w:spacing w:before="20" w:after="20" w:line="264" w:lineRule="auto"/>
            </w:pPr>
            <w:hyperlink r:id="rId15">
              <w:r>
                <w:rPr>
                  <w:rFonts w:ascii="Arial" w:hAnsi="Arial" w:eastAsia="Arial" w:cs="Arial"/>
                  <w:b/>
                  <w:color w:val="0B5CAD"/>
                  <w:sz w:val="17"/>
                  <w:u w:val="single"/>
                </w:rPr>
                <w:t xml:space="preserve">ACUERDO  N° 000272-2026-GRP/CR</w:t>
              </w:r>
            </w:hyperlink>
          </w:p>
          <w:p>
            <w:pPr>
              <w:spacing w:before="0" w:after="20" w:line="252" w:lineRule="auto"/>
            </w:pPr>
            <w:r>
              <w:rPr>
                <w:rFonts w:ascii="Arial" w:hAnsi="Arial" w:eastAsia="Arial"/>
                <w:b w:val="0"/>
                <w:i w:val="0"/>
                <w:color w:val="5B6880"/>
                <w:sz w:val="15"/>
              </w:rPr>
              <w:t>GOBIERNO REGIONAL DE PUNO</w:t>
            </w:r>
          </w:p>
        </w:tc>
        <w:tc>
          <w:tcPr>
            <w:tcW w:type="dxa" w:w="4762"/>
          </w:tcPr>
          <w:p>
            <w:pPr>
              <w:spacing w:before="20" w:after="20" w:line="264" w:lineRule="auto"/>
            </w:pPr>
            <w:r>
              <w:rPr>
                <w:rFonts w:ascii="Arial" w:hAnsi="Arial" w:eastAsia="Arial"/>
                <w:b w:val="0"/>
                <w:i w:val="0"/>
                <w:sz w:val="17"/>
              </w:rPr>
              <w:t>Aprueban transferencia financiera a favor de las trece (13) Municipalidades Provinciales del ámbito de la región Puno</w:t>
            </w:r>
          </w:p>
        </w:tc>
        <w:tc>
          <w:tcPr>
            <w:tcW w:type="dxa" w:w="1247"/>
          </w:tcPr>
          <w:p>
            <w:pPr>
              <w:spacing w:before="20" w:after="20" w:line="264" w:lineRule="auto"/>
              <w:jc w:val="center"/>
            </w:pPr>
            <w:r>
              <w:rPr>
                <w:rFonts w:ascii="Arial" w:hAnsi="Arial" w:eastAsia="Arial"/>
                <w:b w:val="0"/>
                <w:i w:val="0"/>
                <w:sz w:val="17"/>
              </w:rPr>
              <w:t>29/09/2026</w:t>
            </w:r>
          </w:p>
        </w:tc>
      </w:tr>
      <w:tr>
        <w:trPr>
          <w:cantSplit/>
        </w:trPr>
        <w:tc>
          <w:tcPr>
            <w:tcW w:type="dxa" w:w="1247"/>
            <w:gridSpan w:val="4"/>
            <w:shd w:val="clear" w:color="auto" w:fill="F2F5FA"/>
            <w:tcBorders>
              <w:left w:val="single" w:sz="30" w:space="0" w:color="1BAF7A"/>
            </w:tcBorders>
          </w:tcPr>
          <w:p>
            <w:pPr>
              <w:spacing w:before="20" w:after="20" w:line="264" w:lineRule="auto"/>
            </w:pPr>
            <w:r>
              <w:rPr>
                <w:rFonts w:ascii="Arial" w:hAnsi="Arial" w:eastAsia="Arial"/>
                <w:b/>
                <w:i w:val="0"/>
                <w:color w:val="0A2F5C"/>
                <w:sz w:val="17"/>
              </w:rPr>
              <w:t>INVERSIONES  (2)</w:t>
            </w:r>
          </w:p>
        </w:tc>
      </w:tr>
      <w:tr>
        <w:trPr>
          <w:cantSplit/>
        </w:trPr>
        <w:tc>
          <w:tcPr>
            <w:tcW w:type="dxa" w:w="567"/>
          </w:tcPr>
          <w:p>
            <w:pPr>
              <w:spacing w:before="20" w:after="20" w:line="264" w:lineRule="auto"/>
              <w:jc w:val="center"/>
            </w:pPr>
            <w:r>
              <w:rPr>
                <w:rFonts w:ascii="Arial" w:hAnsi="Arial" w:eastAsia="Arial"/>
                <w:b/>
                <w:i w:val="0"/>
                <w:color w:val="0A2F5C"/>
                <w:sz w:val="18"/>
              </w:rPr>
              <w:t>6</w:t>
            </w:r>
          </w:p>
        </w:tc>
        <w:tc>
          <w:tcPr>
            <w:tcW w:type="dxa" w:w="2835"/>
          </w:tcPr>
          <w:p>
            <w:pPr>
              <w:spacing w:before="20" w:after="20" w:line="264" w:lineRule="auto"/>
            </w:pPr>
            <w:hyperlink r:id="rId16">
              <w:r>
                <w:rPr>
                  <w:rFonts w:ascii="Arial" w:hAnsi="Arial" w:eastAsia="Arial" w:cs="Arial"/>
                  <w:b/>
                  <w:color w:val="0B5CAD"/>
                  <w:sz w:val="17"/>
                  <w:u w:val="single"/>
                </w:rPr>
                <w:t xml:space="preserve">DECRETO SUPREMO  N° 204-2026-EF</w:t>
              </w:r>
            </w:hyperlink>
          </w:p>
          <w:p>
            <w:pPr>
              <w:spacing w:before="0" w:after="20" w:line="252" w:lineRule="auto"/>
            </w:pPr>
            <w:r>
              <w:rPr>
                <w:rFonts w:ascii="Arial" w:hAnsi="Arial" w:eastAsia="Arial"/>
                <w:b w:val="0"/>
                <w:i w:val="0"/>
                <w:color w:val="5B6880"/>
                <w:sz w:val="15"/>
              </w:rPr>
              <w:t>ECONOMÍA Y FINANZAS</w:t>
            </w:r>
          </w:p>
        </w:tc>
        <w:tc>
          <w:tcPr>
            <w:tcW w:type="dxa" w:w="4762"/>
          </w:tcPr>
          <w:p>
            <w:pPr>
              <w:spacing w:before="20" w:after="20" w:line="264" w:lineRule="auto"/>
            </w:pPr>
            <w:r>
              <w:rPr>
                <w:rFonts w:ascii="Arial" w:hAnsi="Arial" w:eastAsia="Arial"/>
                <w:b w:val="0"/>
                <w:i w:val="0"/>
                <w:sz w:val="17"/>
              </w:rPr>
              <w:t>Decreto Supremo que otorga mediante contrato las seguridades y garantías del Estado Peruano en respaldo de las declaraciones seguridades y obligaciones contenidas en los Contratos de Concesión de los proyectos Enlace 500 kV Miguel Grau - Pariñas y SE Pariñas 500/220 kV ampliaciones y subestaciones asociadas Enlaces 220 kV Felam - Tierras Nuevas - Salitral ampliaciones y subestaciones asociadas (Proyecto ITC) Nueva SE Palián 220/60 kV y enlaces en 220 kV y 60 kV asociadas (Proyecto ITC) y Enlace 220 kV Muyurina - Mollepata ampliaciones y subestaciones asociadas (Proyecto ITC)</w:t>
            </w:r>
          </w:p>
        </w:tc>
        <w:tc>
          <w:tcPr>
            <w:tcW w:type="dxa" w:w="1247"/>
          </w:tcPr>
          <w:p>
            <w:pPr>
              <w:spacing w:before="20" w:after="20" w:line="264" w:lineRule="auto"/>
              <w:jc w:val="center"/>
            </w:pPr>
            <w:r>
              <w:rPr>
                <w:rFonts w:ascii="Arial" w:hAnsi="Arial" w:eastAsia="Arial"/>
                <w:b w:val="0"/>
                <w:i w:val="0"/>
                <w:sz w:val="17"/>
              </w:rPr>
              <w:t>29/09/2026</w:t>
            </w:r>
          </w:p>
        </w:tc>
      </w:tr>
      <w:tr>
        <w:trPr>
          <w:cantSplit/>
        </w:trPr>
        <w:tc>
          <w:tcPr>
            <w:tcW w:type="dxa" w:w="567"/>
          </w:tcPr>
          <w:p>
            <w:pPr>
              <w:spacing w:before="20" w:after="20" w:line="264" w:lineRule="auto"/>
              <w:jc w:val="center"/>
            </w:pPr>
            <w:r>
              <w:rPr>
                <w:rFonts w:ascii="Arial" w:hAnsi="Arial" w:eastAsia="Arial"/>
                <w:b/>
                <w:i w:val="0"/>
                <w:color w:val="0A2F5C"/>
                <w:sz w:val="18"/>
              </w:rPr>
              <w:t>7</w:t>
            </w:r>
          </w:p>
        </w:tc>
        <w:tc>
          <w:tcPr>
            <w:tcW w:type="dxa" w:w="2835"/>
          </w:tcPr>
          <w:p>
            <w:pPr>
              <w:spacing w:before="20" w:after="20" w:line="264" w:lineRule="auto"/>
            </w:pPr>
            <w:hyperlink r:id="rId17">
              <w:r>
                <w:rPr>
                  <w:rFonts w:ascii="Arial" w:hAnsi="Arial" w:eastAsia="Arial" w:cs="Arial"/>
                  <w:b/>
                  <w:color w:val="0B5CAD"/>
                  <w:sz w:val="17"/>
                  <w:u w:val="single"/>
                </w:rPr>
                <w:t xml:space="preserve">RESOLUCIÓN MINISTERIAL N° 1438-2026-IN</w:t>
              </w:r>
            </w:hyperlink>
          </w:p>
          <w:p>
            <w:pPr>
              <w:spacing w:before="0" w:after="20" w:line="252" w:lineRule="auto"/>
            </w:pPr>
            <w:r>
              <w:rPr>
                <w:rFonts w:ascii="Arial" w:hAnsi="Arial" w:eastAsia="Arial"/>
                <w:b w:val="0"/>
                <w:i w:val="0"/>
                <w:color w:val="5B6880"/>
                <w:sz w:val="15"/>
              </w:rPr>
              <w:t>INTERIOR</w:t>
            </w:r>
          </w:p>
        </w:tc>
        <w:tc>
          <w:tcPr>
            <w:tcW w:type="dxa" w:w="4762"/>
          </w:tcPr>
          <w:p>
            <w:pPr>
              <w:spacing w:before="20" w:after="20" w:line="264" w:lineRule="auto"/>
            </w:pPr>
            <w:r>
              <w:rPr>
                <w:rFonts w:ascii="Arial" w:hAnsi="Arial" w:eastAsia="Arial"/>
                <w:b w:val="0"/>
                <w:i w:val="0"/>
                <w:sz w:val="17"/>
              </w:rPr>
              <w:t>Aprueban incorporación de dos Inversiones No Programadas (INP) en la Cartera de Inversiones del Programa Multianual de Inversiones (PMI) 2026-2028 del Sector Interior</w:t>
            </w:r>
          </w:p>
        </w:tc>
        <w:tc>
          <w:tcPr>
            <w:tcW w:type="dxa" w:w="1247"/>
          </w:tcPr>
          <w:p>
            <w:pPr>
              <w:spacing w:before="20" w:after="20" w:line="264" w:lineRule="auto"/>
              <w:jc w:val="center"/>
            </w:pPr>
            <w:r>
              <w:rPr>
                <w:rFonts w:ascii="Arial" w:hAnsi="Arial" w:eastAsia="Arial"/>
                <w:b w:val="0"/>
                <w:i w:val="0"/>
                <w:sz w:val="17"/>
              </w:rPr>
              <w:t>29/09/2026</w:t>
            </w:r>
          </w:p>
          <w:p>
            <w:pPr>
              <w:spacing w:before="0" w:after="0" w:line="240" w:lineRule="auto"/>
              <w:jc w:val="center"/>
            </w:pPr>
            <w:r>
              <w:rPr>
                <w:rFonts w:ascii="Arial" w:hAnsi="Arial" w:eastAsia="Arial"/>
                <w:b w:val="0"/>
                <w:i w:val="0"/>
                <w:color w:val="B42318"/>
                <w:sz w:val="14"/>
              </w:rPr>
              <w:t>Edición extraordinaria</w:t>
            </w:r>
          </w:p>
        </w:tc>
      </w:tr>
    </w:tbl>
    <w:p>
      <w:pPr>
        <w:spacing w:before="280" w:after="120" w:line="276" w:lineRule="auto"/>
        <w:keepNext/>
        <w:pBdr>
          <w:bottom w:val="single" w:sz="6" w:space="2" w:color="C9D2DF"/>
        </w:pBdr>
      </w:pPr>
      <w:r>
        <w:rPr>
          <w:rFonts w:ascii="Arial" w:hAnsi="Arial" w:eastAsia="Arial"/>
          <w:b/>
          <w:i w:val="0"/>
          <w:color w:val="0A2F5C"/>
          <w:sz w:val="22"/>
        </w:rPr>
        <w:t>2. DETALLE DE LAS NORMAS</w:t>
      </w:r>
    </w:p>
    <w:p>
      <w:pPr>
        <w:keepNext/>
        <w:spacing w:before="160" w:after="80" w:line="276" w:lineRule="auto"/>
      </w:pPr>
      <w:r>
        <w:rPr>
          <w:rFonts w:ascii="Arial" w:hAnsi="Arial" w:eastAsia="Arial"/>
          <w:b/>
          <w:i w:val="0"/>
          <w:color w:val="0B5CAD"/>
          <w:sz w:val="21"/>
        </w:rPr>
        <w:t>2.1  Normatividad presupuestal</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1.  RESOLUCIÓN DIRECTORAL  N° 096-2026/APCI-DE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AGENCIA PERUANA DE COOPERACIÓN INTERNACIONAL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29/09/2026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Disponen incorporación y designación de Jefe de la Oficina de Planeamiento y Presupuesto de la Agencia Peruana de Cooperación Internacional (APCI)</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Conclusión de asignación temporal de funciones y otros encargos 1.1. Dar por concluida, al 28 de setiembre de 2026, la asignación temporal de funciones de la Oficina de Planeamiento, Presupuesto, Modernización e Inversiones efectuada al señor Víctor Angel Crisólogo Galván, dándosele las gracias por los servicios prestados. 1.2. Dar por concluida la participación del señor Víctor Angel Crisólogo Galván en toda comisión, encargo y/o asignación de funciones, en adición a las realizadas por la asignación temporal de funciones del despacho de la Oficina de Planeamiento, Presupuesto, Modernización e Inversiones. Artículo 2.- Incorporación y designación Disponer la incorporación y…</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1">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8">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19">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2.  ACUERDO  N° 243-2026-GRJ/CR</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GOBIERNO REGIONAL DE JUNÍN</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29/09/2026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Autorizan aprobación de transferencia financiera a favor de la Municipalidad Distrital de Pichanaqui</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Primero .- AUTORIZAR la aprobación de la TRANSFERENCIA FINANCIERA en la modalidad de COFINANCIAMIENTO del proyecto “Mejoramiento del servicio de apoyo al desarrollo productivo de los cultivos de palto y guanábana en 15 centros poblados del distrito de Pichanaqui, Chanchamayo, Junín” con CUI N° 2517347, por el importe de S/ 799 200,00 (Setecientos noventa y nueve mil doscientos con 00/100 soles) con cargo al año fiscal 2026. Artículo Segundo .- ENCARGAR, a la Gerencia General Regional bajo responsabilidad, que conforme a sus funciones y facultades de cumplimiento a las recomendaciones y conclusiones de los informes Técnicos y Legales; la supervisión para el adecuado uso de los…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799,200.00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2">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0">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1">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3.  ACUERDO  N° 000269-2026-GRP/CR</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GOBIERNO REGIONAL DE PUNO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29/09/2026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Autorizan transferencia financiera a favor de la Municipalidad Distrital de Arapa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Primero.- AUTORIZAR la transferencia financiera del Pliego 458: Gobierno Regional de Puno, a favor de la Municipalidad Distrital de Arapa, con cargo a Recursos Determinados, conforme al siguiente detalle: ENTIDAD BENEFICIARIA PROYECTO CUI MONTO MUNICIPALIDAD DISTRITAL DE ARAPA MEJORAMIENTO DEL SERVICIO DE PRÁCTICA DEPORTIVA Y/O RECREATIVA EN EL ESTADIO MUNICIPAL DE ARAPA DEL DISTRITO DE ARAPA DE LA PROVINCIA DE AZÁNGARO DEL DEPARTAMENTO DE PUNO 2716529 S/ 544,244.00 Artículo Segundo.- ENCARGAR a la Gerencia General Regional que, a través de los órganos de línea y unidades orgánicas competentes, adopte las acciones administrativas, presupuestales y financieras necesarias para la…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544,244.00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3">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2">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3">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4.  ACUERDO  N° 000270-2026-GRP/CR</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GOBIERNO REGIONAL DE PUNO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29/09/2026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Autorizan transferencia financiera a favor de la Municipalidad Distrital de Acora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Primero.- AUTORIZAR la transferencia financiera del Pliego 458: Gobierno Regional de Puno, a favor de la Municipalidad Distrital de Acora, conforme al siguiente detalle: ENTIDAD BENEFICIARIA PROYECTO IOARR Y/O ACTIVIDAD CUI MONTO MUNICIPALIDAD DISTRITAL DE ACORA CONSTRUCCIÓN DE AULA DE EDUCACIÓN INICIAL Y VESTUARIOS Y/O SSHH DE USUARIOS; ADQUISICIÓN DE MOBILIARIO DE AULA Y MOBILIARIO DEPORTIVO-RECREATIVO; EN EL(LA) I.E. 1297 VIRGENCITA DE LA ASUNCIÓN EN EL CENTRO POBLADO CCOCOSANI, DISTRITO DE ACORA, PROVINCIA PUNO, DEPARTAMENTO PUNO 2700465 S/ 305 671,00 Artículo Segundo.- ENCARGAR a la Gerencia General Regional que, a través de los órganos de línea y unidades orgánicas…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305 671,00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4">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4">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5">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5.  ACUERDO  N° 000272-2026-GRP/CR</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GOBIERNO REGIONAL DE PUNO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29/09/2026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transferencia financiera a favor de las trece (13) Municipalidades Provinciales del ámbito de la región Puno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Primero.- APROBAR la transferencia financiera a favor de las trece (13) Municipalidades Provinciales del ámbito de la región Puno, por el monto total de S/ 4,661,250.00 (cuatro millones seiscientos sesenta y un mil doscientos cincuenta con 00/100 soles), destinada exclusivamente al financiamiento de la prestación de los servicios públicos delegados a las trescientas treinta y nueve (339) Municipalidades de Centros Poblados, correspondiendo a cada una de estas últimas el monto de S/ 13,750.00 (trece mil setecientos cincuenta con 00/100 soles), equivalente a 2.5 UIT, conforme al detalle contenido en el Anexo, que forma parte integrante del presente Acuerdo Regional. Artículo…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4 661 250,00 · S/ 13,750.00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5">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6">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7">
              <w:r>
                <w:rPr>
                  <w:rFonts w:ascii="Arial" w:hAnsi="Arial" w:eastAsia="Arial" w:cs="Arial"/>
                  <w:color w:val="0B5CAD"/>
                  <w:sz w:val="17"/>
                  <w:u w:val="single"/>
                </w:rPr>
                <w:t xml:space="preserve">PDF</w:t>
              </w:r>
            </w:hyperlink>
          </w:p>
        </w:tc>
      </w:tr>
    </w:tbl>
    <w:p>
      <w:pPr>
        <w:spacing w:before="0" w:after="120" w:line="276" w:lineRule="auto"/>
      </w:pPr>
    </w:p>
    <w:p>
      <w:pPr>
        <w:keepNext/>
        <w:spacing w:before="160" w:after="80" w:line="276" w:lineRule="auto"/>
      </w:pPr>
      <w:r>
        <w:rPr>
          <w:rFonts w:ascii="Arial" w:hAnsi="Arial" w:eastAsia="Arial"/>
          <w:b/>
          <w:i w:val="0"/>
          <w:color w:val="0B5CAD"/>
          <w:sz w:val="21"/>
        </w:rPr>
        <w:t>2.2  Inversiones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6.  DECRETO SUPREMO  N° 204-2026-EF</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ECONOMÍA Y FINANZAS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29/09/2026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Decreto Supremo que otorga mediante contrato las seguridades y garantías del Estado Peruano en respaldo de las declaraciones seguridades y obligaciones contenidas en los Contratos de Concesión de los proyectos Enlace 500 kV Miguel Grau - Pariñas y SE Pariñas 500/220 kV ampliaciones y subestaciones asociadas Enlaces 220 kV Felam - Tierras Nuevas - Salitral ampliaciones y subestaciones asociadas (Proyecto ITC) Nueva SE Palián 220/60 kV y enlaces en 220 kV y 60 kV asociadas (Proyecto ITC) y Enlace 220 kV Muyurina - Mollepata ampliaciones y subestaciones asociadas (Proyecto ITC)</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Declaraciones y seguridades Otorgar, mediante contrato, las seguridades y garantías del Estado Peruano, en respaldo de las declaraciones, seguridades y obligaciones a cargo de la Agencia de Promoción de la Inversión Privada - PROINVERSIÓN, en calidad de Concedente, contenidas en los Contratos de Concesión de los proyectos “Enlace 500 kV Miguel Grau - Pariñas y SE Pariñas 500/220 kV, ampliaciones y subestaciones asociadas”, “Enlaces 220 kV Felam - Tierras Nuevas - Salitral, ampliaciones y subestaciones asociadas (Proyecto ITC)”, “Nueva SE Palián 220/60 kV y enlaces en 220 kV y 60 kV asociadas (Proyecto ITC)” y “Enlace 220 kV Muyurina - Mollepata, ampliaciones y subestaciones…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6">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8">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9">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7.  RESOLUCIÓN MINISTERIAL N° 1438-2026-IN</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INTERIOR</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29/09/2026 · Edición extraordinaria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incorporación de dos Inversiones No Programadas (INP) en la Cartera de Inversiones del Programa Multianual de Inversiones (PMI) 2026-2028 del Sector Interior</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Incorporación de Inversiones No Programadas Aprobar la incorporación de dos (2) Inversiones No Programadas (INP) en la Cartera de Inversiones del Programa Multianual de Inversiones (PMI) 2026-2028 del Sector Interior, aprobado mediante Resolución Ministerial Nº 0341-2025-IN, conforme al Anexo que forma parte integrante de la presente Resolución Ministerial. Artículo 2.- Registro e Implementación Disponer que la Oficina de Programación Multianual de Inversiones de la Oficina General de Planeamiento y Presupuesto efectúe el registro correspondiente de las inversiones aprobadas en el artículo 1 de la presente Resolución Ministerial, en el Módulo de Programación Multianual de…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7">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30">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31">
              <w:r>
                <w:rPr>
                  <w:rFonts w:ascii="Arial" w:hAnsi="Arial" w:eastAsia="Arial" w:cs="Arial"/>
                  <w:color w:val="0B5CAD"/>
                  <w:sz w:val="17"/>
                  <w:u w:val="single"/>
                </w:rPr>
                <w:t xml:space="preserve">PDF</w:t>
              </w:r>
            </w:hyperlink>
          </w:p>
        </w:tc>
      </w:tr>
    </w:tbl>
    <w:p>
      <w:pPr>
        <w:spacing w:before="0" w:after="120" w:line="276" w:lineRule="auto"/>
      </w:pPr>
    </w:p>
    <w:p>
      <w:pPr>
        <w:spacing w:before="200" w:after="0" w:line="276" w:lineRule="auto"/>
        <w:jc w:val="both"/>
        <w:pBdr>
          <w:top w:val="single" w:sz="4" w:space="4" w:color="C9D2DF"/>
        </w:pBdr>
      </w:pPr>
      <w:r>
        <w:rPr>
          <w:rFonts w:ascii="Arial" w:hAnsi="Arial" w:eastAsia="Arial"/>
          <w:b/>
          <w:i w:val="0"/>
          <w:color w:val="5B6880"/>
          <w:sz w:val="15"/>
        </w:rPr>
        <w:t xml:space="preserve">Nota metodológica: </w:t>
      </w:r>
      <w:r>
        <w:rPr>
          <w:rFonts w:ascii="Arial" w:hAnsi="Arial" w:eastAsia="Arial"/>
          <w:b w:val="0"/>
          <w:i w:val="0"/>
          <w:color w:val="5B6880"/>
          <w:sz w:val="15"/>
        </w:rPr>
        <w:t xml:space="preserve">se revisan todas las normas publicadas en el Diario Oficial El Peruano en el periodo. Una norma se selecciona cuando su entidad, título o sumilla contiene alguno de los términos definidos para cada tema, o cuando su texto completo menciona a la ATU. Los criterios pueden consultarse y editarse en el panel: </w:t>
      </w:r>
      <w:hyperlink r:id="rId32">
        <w:r>
          <w:rPr>
            <w:rFonts w:ascii="Arial" w:hAnsi="Arial" w:eastAsia="Arial" w:cs="Arial"/>
            <w:color w:val="0B5CAD"/>
            <w:sz w:val="15"/>
            <w:u w:val="single"/>
          </w:rPr>
          <w:t xml:space="preserve">reneearmasr.github.io/monitor-normas-elperuano</w:t>
        </w:r>
      </w:hyperlink>
    </w:p>
    <w:sectPr w:rsidR="00FC693F" w:rsidRPr="0006063C" w:rsidSect="00034616">
      <w:headerReference w:type="default" r:id="rId9"/>
      <w:footerReference w:type="default" r:id="rId10"/>
      <w:pgSz w:w="11906" w:h="16838"/>
      <w:pgMar w:top="1361"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411" w:val="right"/>
      </w:tabs>
      <w:pBdr>
        <w:top w:val="single" w:sz="6" w:space="4" w:color="C9D2DF"/>
      </w:pBdr>
    </w:pPr>
    <w:r>
      <w:rPr>
        <w:rFonts w:ascii="Arial" w:hAnsi="Arial" w:eastAsia="Arial"/>
        <w:b w:val="0"/>
        <w:i w:val="0"/>
        <w:color w:val="5B6880"/>
        <w:sz w:val="15"/>
      </w:rPr>
      <w:t>Fuente: Diario Oficial El Peruano · Elaboración automática</w:t>
    </w:r>
    <w:r>
      <w:rPr>
        <w:rFonts w:ascii="Arial" w:hAnsi="Arial" w:eastAsia="Arial"/>
        <w:b w:val="0"/>
        <w:i w:val="0"/>
        <w:color w:val="5B6880"/>
        <w:sz w:val="15"/>
      </w:rPr>
      <w:tab/>
      <w:t xml:space="preserve">Página </w:t>
    </w:r>
    <w:r>
      <w:rPr>
        <w:rFonts w:ascii="Arial" w:hAnsi="Arial" w:eastAsia="Arial"/>
        <w:b w:val="0"/>
        <w:i w:val="0"/>
        <w:color w:val="5B6880"/>
        <w:sz w:val="15"/>
      </w:rPr>
      <w:fldChar w:fldCharType="begin"/>
      <w:instrText xml:space="preserve"> PAGE </w:instrText>
      <w:fldChar w:fldCharType="separate"/>
      <w:t>1</w:t>
      <w:fldChar w:fldCharType="end"/>
    </w:r>
    <w:r>
      <w:rPr>
        <w:rFonts w:ascii="Arial" w:hAnsi="Arial" w:eastAsia="Arial"/>
        <w:b w:val="0"/>
        <w:i w:val="0"/>
        <w:color w:val="5B6880"/>
        <w:sz w:val="15"/>
      </w:rPr>
      <w:t xml:space="preserve"> de </w:t>
    </w:r>
    <w:r>
      <w:rPr>
        <w:rFonts w:ascii="Arial" w:hAnsi="Arial" w:eastAsia="Arial"/>
        <w:b w:val="0"/>
        <w:i w:val="0"/>
        <w:color w:val="5B6880"/>
        <w:sz w:val="15"/>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8" w:space="4" w:color="0A2F5C"/>
      </w:pBdr>
    </w:pPr>
    <w:r>
      <w:rPr>
        <w:rFonts w:ascii="Arial" w:hAnsi="Arial" w:eastAsia="Arial"/>
        <w:b/>
        <w:i w:val="0"/>
        <w:color w:val="0A2F5C"/>
        <w:sz w:val="15"/>
      </w:rPr>
      <w:t>AUTORIDAD DE TRANSPORTE URBANO PARA LIMA Y CALLAO</w:t>
    </w:r>
    <w:r>
      <w:rPr>
        <w:rFonts w:ascii="Arial" w:hAnsi="Arial" w:eastAsia="Arial"/>
        <w:b w:val="0"/>
        <w:i w:val="0"/>
        <w:color w:val="5B6880"/>
        <w:sz w:val="15"/>
      </w:rPr>
      <w:tab/>
      <w:t>Monitor de Normas Legales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usquedas.elperuano.pe/api/visor_html/2559152-1" TargetMode="External"/><Relationship Id="rId12" Type="http://schemas.openxmlformats.org/officeDocument/2006/relationships/hyperlink" Target="https://busquedas.elperuano.pe/api/visor_html/2558191-1" TargetMode="External"/><Relationship Id="rId13" Type="http://schemas.openxmlformats.org/officeDocument/2006/relationships/hyperlink" Target="https://busquedas.elperuano.pe/api/visor_html/2558359-1" TargetMode="External"/><Relationship Id="rId14" Type="http://schemas.openxmlformats.org/officeDocument/2006/relationships/hyperlink" Target="https://busquedas.elperuano.pe/api/visor_html/2558363-1" TargetMode="External"/><Relationship Id="rId15" Type="http://schemas.openxmlformats.org/officeDocument/2006/relationships/hyperlink" Target="https://busquedas.elperuano.pe/api/visor_html/2558494-1" TargetMode="External"/><Relationship Id="rId16" Type="http://schemas.openxmlformats.org/officeDocument/2006/relationships/hyperlink" Target="https://busquedas.elperuano.pe/api/visor_html/2559164-1" TargetMode="External"/><Relationship Id="rId17" Type="http://schemas.openxmlformats.org/officeDocument/2006/relationships/hyperlink" Target="https://busquedas.elperuano.pe/api/visor_html/2559297-1" TargetMode="External"/><Relationship Id="rId18" Type="http://schemas.openxmlformats.org/officeDocument/2006/relationships/hyperlink" Target="https://busquedas.elperuano.pe/dispositivo/NL/2559152-1" TargetMode="External"/><Relationship Id="rId19" Type="http://schemas.openxmlformats.org/officeDocument/2006/relationships/hyperlink" Target="https://busquedas.elperuano.pe/dispositivo/NL/2559152-1/pdf" TargetMode="External"/><Relationship Id="rId20" Type="http://schemas.openxmlformats.org/officeDocument/2006/relationships/hyperlink" Target="https://busquedas.elperuano.pe/dispositivo/NL/2558191-1" TargetMode="External"/><Relationship Id="rId21" Type="http://schemas.openxmlformats.org/officeDocument/2006/relationships/hyperlink" Target="https://busquedas.elperuano.pe/dispositivo/NL/2558191-1/pdf" TargetMode="External"/><Relationship Id="rId22" Type="http://schemas.openxmlformats.org/officeDocument/2006/relationships/hyperlink" Target="https://busquedas.elperuano.pe/dispositivo/NL/2558359-1" TargetMode="External"/><Relationship Id="rId23" Type="http://schemas.openxmlformats.org/officeDocument/2006/relationships/hyperlink" Target="https://busquedas.elperuano.pe/dispositivo/NL/2558359-1/pdf" TargetMode="External"/><Relationship Id="rId24" Type="http://schemas.openxmlformats.org/officeDocument/2006/relationships/hyperlink" Target="https://busquedas.elperuano.pe/dispositivo/NL/2558363-1" TargetMode="External"/><Relationship Id="rId25" Type="http://schemas.openxmlformats.org/officeDocument/2006/relationships/hyperlink" Target="https://busquedas.elperuano.pe/dispositivo/NL/2558363-1/pdf" TargetMode="External"/><Relationship Id="rId26" Type="http://schemas.openxmlformats.org/officeDocument/2006/relationships/hyperlink" Target="https://busquedas.elperuano.pe/dispositivo/NL/2558494-1" TargetMode="External"/><Relationship Id="rId27" Type="http://schemas.openxmlformats.org/officeDocument/2006/relationships/hyperlink" Target="https://busquedas.elperuano.pe/dispositivo/NL/2558494-1/pdf" TargetMode="External"/><Relationship Id="rId28" Type="http://schemas.openxmlformats.org/officeDocument/2006/relationships/hyperlink" Target="https://busquedas.elperuano.pe/dispositivo/NL/2559164-1" TargetMode="External"/><Relationship Id="rId29" Type="http://schemas.openxmlformats.org/officeDocument/2006/relationships/hyperlink" Target="https://busquedas.elperuano.pe/dispositivo/NL/2559164-1/pdf" TargetMode="External"/><Relationship Id="rId30" Type="http://schemas.openxmlformats.org/officeDocument/2006/relationships/hyperlink" Target="https://busquedas.elperuano.pe/dispositivo/EX/2559297-1" TargetMode="External"/><Relationship Id="rId31" Type="http://schemas.openxmlformats.org/officeDocument/2006/relationships/hyperlink" Target="https://busquedas.elperuano.pe/dispositivo/EX/2559297-1/pdf" TargetMode="External"/><Relationship Id="rId32" Type="http://schemas.openxmlformats.org/officeDocument/2006/relationships/hyperlink" Target="https://reneearmasr.github.io/monitor-normas-elperua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