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Jueves 1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01/10/2026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11:05</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80</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11</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80 normas publicadas en el periodo, 11 resultan de interés institucional: 4 de normatividad presupuestal y 7 de inversiones. No se identificaron normas que involucren a la ATU. El Cuadro 1 presenta la relación completa y la sección 2, el detalle de cada norma.</w:t>
      </w: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EB6834"/>
            </w:tcBorders>
          </w:tcPr>
          <w:p>
            <w:pPr>
              <w:spacing w:before="20" w:after="20" w:line="264" w:lineRule="auto"/>
            </w:pPr>
            <w:r>
              <w:rPr>
                <w:rFonts w:ascii="Arial" w:hAnsi="Arial" w:eastAsia="Arial"/>
                <w:b/>
                <w:i w:val="0"/>
                <w:color w:val="0A2F5C"/>
                <w:sz w:val="17"/>
              </w:rPr>
              <w:t>NORMATIVIDAD PRESUPUESTAL  (4)</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000214-2026-DV-PE</w:t>
              </w:r>
            </w:hyperlink>
          </w:p>
          <w:p>
            <w:pPr>
              <w:spacing w:before="0" w:after="20" w:line="252" w:lineRule="auto"/>
            </w:pPr>
            <w:r>
              <w:rPr>
                <w:rFonts w:ascii="Arial" w:hAnsi="Arial" w:eastAsia="Arial"/>
                <w:b w:val="0"/>
                <w:i w:val="0"/>
                <w:color w:val="5B6880"/>
                <w:sz w:val="15"/>
              </w:rPr>
              <w:t>COMISIÓN NACIONAL PARA EL DESARROLLO Y VIDA SIN DROGAS</w:t>
            </w:r>
          </w:p>
        </w:tc>
        <w:tc>
          <w:tcPr>
            <w:tcW w:type="dxa" w:w="4762"/>
          </w:tcPr>
          <w:p>
            <w:pPr>
              <w:spacing w:before="20" w:after="20" w:line="264" w:lineRule="auto"/>
            </w:pPr>
            <w:r>
              <w:rPr>
                <w:rFonts w:ascii="Arial" w:hAnsi="Arial" w:eastAsia="Arial"/>
                <w:b w:val="0"/>
                <w:i w:val="0"/>
                <w:sz w:val="17"/>
              </w:rPr>
              <w:t>Autorizan transferencia financiera a favor de la Fuerza Aérea del Perú</w:t>
            </w:r>
          </w:p>
        </w:tc>
        <w:tc>
          <w:tcPr>
            <w:tcW w:type="dxa" w:w="1247"/>
          </w:tcPr>
          <w:p>
            <w:pPr>
              <w:spacing w:before="20" w:after="20" w:line="264" w:lineRule="auto"/>
              <w:jc w:val="center"/>
            </w:pPr>
            <w:r>
              <w:rPr>
                <w:rFonts w:ascii="Arial" w:hAnsi="Arial" w:eastAsia="Arial"/>
                <w:b w:val="0"/>
                <w:i w:val="0"/>
                <w:sz w:val="17"/>
              </w:rPr>
              <w:t>01/10/2026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RESOLUCIÓN N° 000215-2026-DV-PE</w:t>
              </w:r>
            </w:hyperlink>
          </w:p>
          <w:p>
            <w:pPr>
              <w:spacing w:before="0" w:after="20" w:line="252" w:lineRule="auto"/>
            </w:pPr>
            <w:r>
              <w:rPr>
                <w:rFonts w:ascii="Arial" w:hAnsi="Arial" w:eastAsia="Arial"/>
                <w:b w:val="0"/>
                <w:i w:val="0"/>
                <w:color w:val="5B6880"/>
                <w:sz w:val="15"/>
              </w:rPr>
              <w:t>COMISIÓN NACIONAL PARA EL DESARROLLO Y VIDA SIN DROGAS</w:t>
            </w:r>
          </w:p>
        </w:tc>
        <w:tc>
          <w:tcPr>
            <w:tcW w:type="dxa" w:w="4762"/>
          </w:tcPr>
          <w:p>
            <w:pPr>
              <w:spacing w:before="20" w:after="20" w:line="264" w:lineRule="auto"/>
            </w:pPr>
            <w:r>
              <w:rPr>
                <w:rFonts w:ascii="Arial" w:hAnsi="Arial" w:eastAsia="Arial"/>
                <w:b w:val="0"/>
                <w:i w:val="0"/>
                <w:sz w:val="17"/>
              </w:rPr>
              <w:t>Autorizan transferencia financiera a favor del Ejército del Perú</w:t>
            </w:r>
          </w:p>
        </w:tc>
        <w:tc>
          <w:tcPr>
            <w:tcW w:type="dxa" w:w="1247"/>
          </w:tcPr>
          <w:p>
            <w:pPr>
              <w:spacing w:before="20" w:after="20" w:line="264" w:lineRule="auto"/>
              <w:jc w:val="center"/>
            </w:pPr>
            <w:r>
              <w:rPr>
                <w:rFonts w:ascii="Arial" w:hAnsi="Arial" w:eastAsia="Arial"/>
                <w:b w:val="0"/>
                <w:i w:val="0"/>
                <w:sz w:val="17"/>
              </w:rPr>
              <w:t>01/10/2026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3</w:t>
            </w:r>
          </w:p>
        </w:tc>
        <w:tc>
          <w:tcPr>
            <w:tcW w:type="dxa" w:w="2835"/>
          </w:tcPr>
          <w:p>
            <w:pPr>
              <w:spacing w:before="20" w:after="20" w:line="264" w:lineRule="auto"/>
            </w:pPr>
            <w:hyperlink r:id="rId13">
              <w:r>
                <w:rPr>
                  <w:rFonts w:ascii="Arial" w:hAnsi="Arial" w:eastAsia="Arial" w:cs="Arial"/>
                  <w:b/>
                  <w:color w:val="0B5CAD"/>
                  <w:sz w:val="17"/>
                  <w:u w:val="single"/>
                </w:rPr>
                <w:t xml:space="preserve">RESOLUCIÓN N° 109-2026-GRA/GR</w:t>
              </w:r>
            </w:hyperlink>
          </w:p>
          <w:p>
            <w:pPr>
              <w:spacing w:before="0" w:after="20" w:line="252" w:lineRule="auto"/>
            </w:pPr>
            <w:r>
              <w:rPr>
                <w:rFonts w:ascii="Arial" w:hAnsi="Arial" w:eastAsia="Arial"/>
                <w:b w:val="0"/>
                <w:i w:val="0"/>
                <w:color w:val="5B6880"/>
                <w:sz w:val="15"/>
              </w:rPr>
              <w:t>GOBIERNO REGIONAL DE ANCASH</w:t>
            </w:r>
          </w:p>
        </w:tc>
        <w:tc>
          <w:tcPr>
            <w:tcW w:type="dxa" w:w="4762"/>
          </w:tcPr>
          <w:p>
            <w:pPr>
              <w:spacing w:before="20" w:after="20" w:line="264" w:lineRule="auto"/>
            </w:pPr>
            <w:r>
              <w:rPr>
                <w:rFonts w:ascii="Arial" w:hAnsi="Arial" w:eastAsia="Arial"/>
                <w:b w:val="0"/>
                <w:i w:val="0"/>
                <w:sz w:val="17"/>
              </w:rPr>
              <w:t>Disponen efectuar transferencia financiera a favor de las municipalidades provinciales y distritales del departamento de Ancash</w:t>
            </w:r>
          </w:p>
        </w:tc>
        <w:tc>
          <w:tcPr>
            <w:tcW w:type="dxa" w:w="1247"/>
          </w:tcPr>
          <w:p>
            <w:pPr>
              <w:spacing w:before="20" w:after="20" w:line="264" w:lineRule="auto"/>
              <w:jc w:val="center"/>
            </w:pPr>
            <w:r>
              <w:rPr>
                <w:rFonts w:ascii="Arial" w:hAnsi="Arial" w:eastAsia="Arial"/>
                <w:b w:val="0"/>
                <w:i w:val="0"/>
                <w:sz w:val="17"/>
              </w:rPr>
              <w:t>01/10/2026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4</w:t>
            </w:r>
          </w:p>
        </w:tc>
        <w:tc>
          <w:tcPr>
            <w:tcW w:type="dxa" w:w="2835"/>
          </w:tcPr>
          <w:p>
            <w:pPr>
              <w:spacing w:before="20" w:after="20" w:line="264" w:lineRule="auto"/>
            </w:pPr>
            <w:hyperlink r:id="rId14">
              <w:r>
                <w:rPr>
                  <w:rFonts w:ascii="Arial" w:hAnsi="Arial" w:eastAsia="Arial" w:cs="Arial"/>
                  <w:b/>
                  <w:color w:val="0B5CAD"/>
                  <w:sz w:val="17"/>
                  <w:u w:val="single"/>
                </w:rPr>
                <w:t xml:space="preserve">RESOLUCIÓN  N° 00215-2026-SUNARP/SN</w:t>
              </w:r>
            </w:hyperlink>
          </w:p>
          <w:p>
            <w:pPr>
              <w:spacing w:before="0" w:after="20" w:line="252" w:lineRule="auto"/>
            </w:pPr>
            <w:r>
              <w:rPr>
                <w:rFonts w:ascii="Arial" w:hAnsi="Arial" w:eastAsia="Arial"/>
                <w:b w:val="0"/>
                <w:i w:val="0"/>
                <w:color w:val="5B6880"/>
                <w:sz w:val="15"/>
              </w:rPr>
              <w:t>SUPERINTENDENCIA NACIONAL DE LOS REGISTROS PÚBLICOS</w:t>
            </w:r>
          </w:p>
        </w:tc>
        <w:tc>
          <w:tcPr>
            <w:tcW w:type="dxa" w:w="4762"/>
          </w:tcPr>
          <w:p>
            <w:pPr>
              <w:spacing w:before="20" w:after="20" w:line="264" w:lineRule="auto"/>
            </w:pPr>
            <w:r>
              <w:rPr>
                <w:rFonts w:ascii="Arial" w:hAnsi="Arial" w:eastAsia="Arial"/>
                <w:b w:val="0"/>
                <w:i w:val="0"/>
                <w:sz w:val="17"/>
              </w:rPr>
              <w:t>Autorizan transferencia financiera a favor de la Contraloría General de la República</w:t>
            </w:r>
          </w:p>
        </w:tc>
        <w:tc>
          <w:tcPr>
            <w:tcW w:type="dxa" w:w="1247"/>
          </w:tcPr>
          <w:p>
            <w:pPr>
              <w:spacing w:before="20" w:after="20" w:line="264" w:lineRule="auto"/>
              <w:jc w:val="center"/>
            </w:pPr>
            <w:r>
              <w:rPr>
                <w:rFonts w:ascii="Arial" w:hAnsi="Arial" w:eastAsia="Arial"/>
                <w:b w:val="0"/>
                <w:i w:val="0"/>
                <w:sz w:val="17"/>
              </w:rPr>
              <w:t>01/10/2026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(7)</w:t>
            </w:r>
          </w:p>
        </w:tc>
      </w:tr>
      <w:tr>
        <w:trPr>
          <w:cantSplit/>
        </w:trPr>
        <w:tc>
          <w:tcPr>
            <w:tcW w:type="dxa" w:w="567"/>
          </w:tcPr>
          <w:p>
            <w:pPr>
              <w:spacing w:before="20" w:after="20" w:line="264" w:lineRule="auto"/>
              <w:jc w:val="center"/>
            </w:pPr>
            <w:r>
              <w:rPr>
                <w:rFonts w:ascii="Arial" w:hAnsi="Arial" w:eastAsia="Arial"/>
                <w:b/>
                <w:i w:val="0"/>
                <w:color w:val="0A2F5C"/>
                <w:sz w:val="18"/>
              </w:rPr>
              <w:t>5</w:t>
            </w:r>
          </w:p>
        </w:tc>
        <w:tc>
          <w:tcPr>
            <w:tcW w:type="dxa" w:w="2835"/>
          </w:tcPr>
          <w:p>
            <w:pPr>
              <w:spacing w:before="20" w:after="20" w:line="264" w:lineRule="auto"/>
            </w:pPr>
            <w:hyperlink r:id="rId15">
              <w:r>
                <w:rPr>
                  <w:rFonts w:ascii="Arial" w:hAnsi="Arial" w:eastAsia="Arial" w:cs="Arial"/>
                  <w:b/>
                  <w:color w:val="0B5CAD"/>
                  <w:sz w:val="17"/>
                  <w:u w:val="single"/>
                </w:rPr>
                <w:t xml:space="preserve">DECRETO SUPREMO  N° 210-2026-EF</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Decreto Supremo que otorga mediante contrato las seguridades y garantías del Estado Peruano en respaldo de las declaraciones seguridades y obligaciones a cargo del concedente contenidas en el Contrato de Concesión del Proyecto Mejoramiento del sistema de alcantarillado y tratamiento de aguas servidas de la ciudad de Puerto Maldonado - distrito de Tambopata provincia de Tambopata departamento de Madre de Dios</w:t>
            </w:r>
          </w:p>
        </w:tc>
        <w:tc>
          <w:tcPr>
            <w:tcW w:type="dxa" w:w="1247"/>
          </w:tcPr>
          <w:p>
            <w:pPr>
              <w:spacing w:before="20" w:after="20" w:line="264" w:lineRule="auto"/>
              <w:jc w:val="center"/>
            </w:pPr>
            <w:r>
              <w:rPr>
                <w:rFonts w:ascii="Arial" w:hAnsi="Arial" w:eastAsia="Arial"/>
                <w:b w:val="0"/>
                <w:i w:val="0"/>
                <w:sz w:val="17"/>
              </w:rPr>
              <w:t>01/10/2026</w:t>
            </w:r>
          </w:p>
        </w:tc>
      </w:tr>
      <w:tr>
        <w:trPr>
          <w:cantSplit/>
        </w:trPr>
        <w:tc>
          <w:tcPr>
            <w:tcW w:type="dxa" w:w="567"/>
          </w:tcPr>
          <w:p>
            <w:pPr>
              <w:spacing w:before="20" w:after="20" w:line="264" w:lineRule="auto"/>
              <w:jc w:val="center"/>
            </w:pPr>
            <w:r>
              <w:rPr>
                <w:rFonts w:ascii="Arial" w:hAnsi="Arial" w:eastAsia="Arial"/>
                <w:b/>
                <w:i w:val="0"/>
                <w:color w:val="0A2F5C"/>
                <w:sz w:val="18"/>
              </w:rPr>
              <w:t>6</w:t>
            </w:r>
          </w:p>
        </w:tc>
        <w:tc>
          <w:tcPr>
            <w:tcW w:type="dxa" w:w="2835"/>
          </w:tcPr>
          <w:p>
            <w:pPr>
              <w:spacing w:before="20" w:after="20" w:line="264" w:lineRule="auto"/>
            </w:pPr>
            <w:hyperlink r:id="rId16">
              <w:r>
                <w:rPr>
                  <w:rFonts w:ascii="Arial" w:hAnsi="Arial" w:eastAsia="Arial" w:cs="Arial"/>
                  <w:b/>
                  <w:color w:val="0B5CAD"/>
                  <w:sz w:val="17"/>
                  <w:u w:val="single"/>
                </w:rPr>
                <w:t xml:space="preserve">RESOLUCIÓN MINISTERIAL  N° 443-2026-EF/54</w:t>
              </w:r>
            </w:hyperlink>
          </w:p>
          <w:p>
            <w:pPr>
              <w:spacing w:before="0" w:after="20" w:line="252" w:lineRule="auto"/>
            </w:pPr>
            <w:r>
              <w:rPr>
                <w:rFonts w:ascii="Arial" w:hAnsi="Arial" w:eastAsia="Arial"/>
                <w:b w:val="0"/>
                <w:i w:val="0"/>
                <w:color w:val="5B6880"/>
                <w:sz w:val="15"/>
              </w:rPr>
              <w:t>ECONOMÍA Y FINANZAS</w:t>
            </w:r>
          </w:p>
        </w:tc>
        <w:tc>
          <w:tcPr>
            <w:tcW w:type="dxa" w:w="4762"/>
          </w:tcPr>
          <w:p>
            <w:pPr>
              <w:spacing w:before="20" w:after="20" w:line="264" w:lineRule="auto"/>
            </w:pPr>
            <w:r>
              <w:rPr>
                <w:rFonts w:ascii="Arial" w:hAnsi="Arial" w:eastAsia="Arial"/>
                <w:b w:val="0"/>
                <w:i w:val="0"/>
                <w:sz w:val="17"/>
              </w:rPr>
              <w:t>Resolución Ministerial que dispone la publicación del proyecto de Resolución Directoral que aprueba la Directiva que establece las bases estándar en el marco de la Ley Nº 32069 Ley General de Contrataciones Públicas</w:t>
            </w:r>
          </w:p>
        </w:tc>
        <w:tc>
          <w:tcPr>
            <w:tcW w:type="dxa" w:w="1247"/>
          </w:tcPr>
          <w:p>
            <w:pPr>
              <w:spacing w:before="20" w:after="20" w:line="264" w:lineRule="auto"/>
              <w:jc w:val="center"/>
            </w:pPr>
            <w:r>
              <w:rPr>
                <w:rFonts w:ascii="Arial" w:hAnsi="Arial" w:eastAsia="Arial"/>
                <w:b w:val="0"/>
                <w:i w:val="0"/>
                <w:sz w:val="17"/>
              </w:rPr>
              <w:t>01/10/2026</w:t>
            </w:r>
          </w:p>
        </w:tc>
      </w:tr>
      <w:tr>
        <w:trPr>
          <w:cantSplit/>
        </w:trPr>
        <w:tc>
          <w:tcPr>
            <w:tcW w:type="dxa" w:w="567"/>
          </w:tcPr>
          <w:p>
            <w:pPr>
              <w:spacing w:before="20" w:after="20" w:line="264" w:lineRule="auto"/>
              <w:jc w:val="center"/>
            </w:pPr>
            <w:r>
              <w:rPr>
                <w:rFonts w:ascii="Arial" w:hAnsi="Arial" w:eastAsia="Arial"/>
                <w:b/>
                <w:i w:val="0"/>
                <w:color w:val="0A2F5C"/>
                <w:sz w:val="18"/>
              </w:rPr>
              <w:t>7</w:t>
            </w:r>
          </w:p>
        </w:tc>
        <w:tc>
          <w:tcPr>
            <w:tcW w:type="dxa" w:w="2835"/>
          </w:tcPr>
          <w:p>
            <w:pPr>
              <w:spacing w:before="20" w:after="20" w:line="264" w:lineRule="auto"/>
            </w:pPr>
            <w:hyperlink r:id="rId17">
              <w:r>
                <w:rPr>
                  <w:rFonts w:ascii="Arial" w:hAnsi="Arial" w:eastAsia="Arial" w:cs="Arial"/>
                  <w:b/>
                  <w:color w:val="0B5CAD"/>
                  <w:sz w:val="17"/>
                  <w:u w:val="single"/>
                </w:rPr>
                <w:t xml:space="preserve">RESOLUCIÓN MINISTERIAL N° 421-2026-MINEM/DM</w:t>
              </w:r>
            </w:hyperlink>
          </w:p>
          <w:p>
            <w:pPr>
              <w:spacing w:before="0" w:after="20" w:line="252" w:lineRule="auto"/>
            </w:pPr>
            <w:r>
              <w:rPr>
                <w:rFonts w:ascii="Arial" w:hAnsi="Arial" w:eastAsia="Arial"/>
                <w:b w:val="0"/>
                <w:i w:val="0"/>
                <w:color w:val="5B6880"/>
                <w:sz w:val="15"/>
              </w:rPr>
              <w:t>ENERGÍA Y MINAS</w:t>
            </w:r>
          </w:p>
        </w:tc>
        <w:tc>
          <w:tcPr>
            <w:tcW w:type="dxa" w:w="4762"/>
          </w:tcPr>
          <w:p>
            <w:pPr>
              <w:spacing w:before="20" w:after="20" w:line="264" w:lineRule="auto"/>
            </w:pPr>
            <w:r>
              <w:rPr>
                <w:rFonts w:ascii="Arial" w:hAnsi="Arial" w:eastAsia="Arial"/>
                <w:b w:val="0"/>
                <w:i w:val="0"/>
                <w:sz w:val="17"/>
              </w:rPr>
              <w:t>Aprueban modificación de la cartera de inversiones del Programa Multianual de Inversiones – PMI correspondiente al periodo 2026-2028 del Sector Energía y Minas</w:t>
            </w:r>
          </w:p>
        </w:tc>
        <w:tc>
          <w:tcPr>
            <w:tcW w:type="dxa" w:w="1247"/>
          </w:tcPr>
          <w:p>
            <w:pPr>
              <w:spacing w:before="20" w:after="20" w:line="264" w:lineRule="auto"/>
              <w:jc w:val="center"/>
            </w:pPr>
            <w:r>
              <w:rPr>
                <w:rFonts w:ascii="Arial" w:hAnsi="Arial" w:eastAsia="Arial"/>
                <w:b w:val="0"/>
                <w:i w:val="0"/>
                <w:sz w:val="17"/>
              </w:rPr>
              <w:t>01/10/2026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8</w:t>
            </w:r>
          </w:p>
        </w:tc>
        <w:tc>
          <w:tcPr>
            <w:tcW w:type="dxa" w:w="2835"/>
          </w:tcPr>
          <w:p>
            <w:pPr>
              <w:spacing w:before="20" w:after="20" w:line="264" w:lineRule="auto"/>
            </w:pPr>
            <w:hyperlink r:id="rId18">
              <w:r>
                <w:rPr>
                  <w:rFonts w:ascii="Arial" w:hAnsi="Arial" w:eastAsia="Arial" w:cs="Arial"/>
                  <w:b/>
                  <w:color w:val="0B5CAD"/>
                  <w:sz w:val="17"/>
                  <w:u w:val="single"/>
                </w:rPr>
                <w:t xml:space="preserve">RESOLUCIÓN MINISTERIAL N° 422-2026-MINEM/DM</w:t>
              </w:r>
            </w:hyperlink>
          </w:p>
          <w:p>
            <w:pPr>
              <w:spacing w:before="0" w:after="20" w:line="252" w:lineRule="auto"/>
            </w:pPr>
            <w:r>
              <w:rPr>
                <w:rFonts w:ascii="Arial" w:hAnsi="Arial" w:eastAsia="Arial"/>
                <w:b w:val="0"/>
                <w:i w:val="0"/>
                <w:color w:val="5B6880"/>
                <w:sz w:val="15"/>
              </w:rPr>
              <w:t>ENERGÍA Y MINAS</w:t>
            </w:r>
          </w:p>
        </w:tc>
        <w:tc>
          <w:tcPr>
            <w:tcW w:type="dxa" w:w="4762"/>
          </w:tcPr>
          <w:p>
            <w:pPr>
              <w:spacing w:before="20" w:after="20" w:line="264" w:lineRule="auto"/>
            </w:pPr>
            <w:r>
              <w:rPr>
                <w:rFonts w:ascii="Arial" w:hAnsi="Arial" w:eastAsia="Arial"/>
                <w:b w:val="0"/>
                <w:i w:val="0"/>
                <w:sz w:val="17"/>
              </w:rPr>
              <w:t>Aprueban modificación de la cartera de inversiones del Programa Multianual de Inversiones – PMI correspondiente al periodo 2026-2028 del Sector Energía y Minas</w:t>
            </w:r>
          </w:p>
        </w:tc>
        <w:tc>
          <w:tcPr>
            <w:tcW w:type="dxa" w:w="1247"/>
          </w:tcPr>
          <w:p>
            <w:pPr>
              <w:spacing w:before="20" w:after="20" w:line="264" w:lineRule="auto"/>
              <w:jc w:val="center"/>
            </w:pPr>
            <w:r>
              <w:rPr>
                <w:rFonts w:ascii="Arial" w:hAnsi="Arial" w:eastAsia="Arial"/>
                <w:b w:val="0"/>
                <w:i w:val="0"/>
                <w:sz w:val="17"/>
              </w:rPr>
              <w:t>01/10/2026</w:t>
            </w:r>
          </w:p>
          <w:p>
            <w:pPr>
              <w:spacing w:before="0" w:after="0" w:line="240" w:lineRule="auto"/>
              <w:jc w:val="center"/>
            </w:pPr>
            <w:r>
              <w:rPr>
                <w:rFonts w:ascii="Arial" w:hAnsi="Arial" w:eastAsia="Arial"/>
                <w:b w:val="0"/>
                <w:i w:val="0"/>
                <w:color w:val="B42318"/>
                <w:sz w:val="14"/>
              </w:rPr>
              <w:t>Edición extraordinaria</w:t>
            </w:r>
          </w:p>
        </w:tc>
      </w:tr>
      <w:tr>
        <w:trPr>
          <w:cantSplit/>
        </w:trPr>
        <w:tc>
          <w:tcPr>
            <w:tcW w:type="dxa" w:w="567"/>
          </w:tcPr>
          <w:p>
            <w:pPr>
              <w:spacing w:before="20" w:after="20" w:line="264" w:lineRule="auto"/>
              <w:jc w:val="center"/>
            </w:pPr>
            <w:r>
              <w:rPr>
                <w:rFonts w:ascii="Arial" w:hAnsi="Arial" w:eastAsia="Arial"/>
                <w:b/>
                <w:i w:val="0"/>
                <w:color w:val="0A2F5C"/>
                <w:sz w:val="18"/>
              </w:rPr>
              <w:t>9</w:t>
            </w:r>
          </w:p>
        </w:tc>
        <w:tc>
          <w:tcPr>
            <w:tcW w:type="dxa" w:w="2835"/>
          </w:tcPr>
          <w:p>
            <w:pPr>
              <w:spacing w:before="20" w:after="20" w:line="264" w:lineRule="auto"/>
            </w:pPr>
            <w:hyperlink r:id="rId19">
              <w:r>
                <w:rPr>
                  <w:rFonts w:ascii="Arial" w:hAnsi="Arial" w:eastAsia="Arial" w:cs="Arial"/>
                  <w:b/>
                  <w:color w:val="0B5CAD"/>
                  <w:sz w:val="17"/>
                  <w:u w:val="single"/>
                </w:rPr>
                <w:t xml:space="preserve">RESOLUCIÓN  N° 000125-2026-CD/OSIPTEL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la exclusión de la empresa concesionaria Integratel Perú S.A.A. de las obligaciones relacionadas con la prueba de imputación tarifaria prevista en el Reglamento de Imputación Tarifaria; y dictan otras disposiciones</w:t>
            </w:r>
          </w:p>
        </w:tc>
        <w:tc>
          <w:tcPr>
            <w:tcW w:type="dxa" w:w="1247"/>
          </w:tcPr>
          <w:p>
            <w:pPr>
              <w:spacing w:before="20" w:after="20" w:line="264" w:lineRule="auto"/>
              <w:jc w:val="center"/>
            </w:pPr>
            <w:r>
              <w:rPr>
                <w:rFonts w:ascii="Arial" w:hAnsi="Arial" w:eastAsia="Arial"/>
                <w:b w:val="0"/>
                <w:i w:val="0"/>
                <w:sz w:val="17"/>
              </w:rPr>
              <w:t>01/10/2026</w:t>
            </w:r>
          </w:p>
        </w:tc>
      </w:tr>
      <w:tr>
        <w:trPr>
          <w:cantSplit/>
        </w:trPr>
        <w:tc>
          <w:tcPr>
            <w:tcW w:type="dxa" w:w="567"/>
          </w:tcPr>
          <w:p>
            <w:pPr>
              <w:spacing w:before="20" w:after="20" w:line="264" w:lineRule="auto"/>
              <w:jc w:val="center"/>
            </w:pPr>
            <w:r>
              <w:rPr>
                <w:rFonts w:ascii="Arial" w:hAnsi="Arial" w:eastAsia="Arial"/>
                <w:b/>
                <w:i w:val="0"/>
                <w:color w:val="0A2F5C"/>
                <w:sz w:val="18"/>
              </w:rPr>
              <w:t>10</w:t>
            </w:r>
          </w:p>
        </w:tc>
        <w:tc>
          <w:tcPr>
            <w:tcW w:type="dxa" w:w="2835"/>
          </w:tcPr>
          <w:p>
            <w:pPr>
              <w:spacing w:before="20" w:after="20" w:line="264" w:lineRule="auto"/>
            </w:pPr>
            <w:hyperlink r:id="rId20">
              <w:r>
                <w:rPr>
                  <w:rFonts w:ascii="Arial" w:hAnsi="Arial" w:eastAsia="Arial" w:cs="Arial"/>
                  <w:b/>
                  <w:color w:val="0B5CAD"/>
                  <w:sz w:val="17"/>
                  <w:u w:val="single"/>
                </w:rPr>
                <w:t xml:space="preserve">RESOLUCIÓN  N° 000126-2026-CD/OSIPTEL</w:t>
              </w:r>
            </w:hyperlink>
          </w:p>
          <w:p>
            <w:pPr>
              <w:spacing w:before="0" w:after="20" w:line="252" w:lineRule="auto"/>
            </w:pPr>
            <w:r>
              <w:rPr>
                <w:rFonts w:ascii="Arial" w:hAnsi="Arial" w:eastAsia="Arial"/>
                <w:b w:val="0"/>
                <w:i w:val="0"/>
                <w:color w:val="5B6880"/>
                <w:sz w:val="15"/>
              </w:rPr>
              <w:t>ORGANISMO SUPERVISOR DE INVERSIÓN PRIVADA EN TELECOMUNICACIONES</w:t>
            </w:r>
          </w:p>
        </w:tc>
        <w:tc>
          <w:tcPr>
            <w:tcW w:type="dxa" w:w="4762"/>
          </w:tcPr>
          <w:p>
            <w:pPr>
              <w:spacing w:before="20" w:after="20" w:line="264" w:lineRule="auto"/>
            </w:pPr>
            <w:r>
              <w:rPr>
                <w:rFonts w:ascii="Arial" w:hAnsi="Arial" w:eastAsia="Arial"/>
                <w:b w:val="0"/>
                <w:i w:val="0"/>
                <w:sz w:val="17"/>
              </w:rPr>
              <w:t>Aprueban Norma que establece disposiciones para la aplicación del Sandbox Regulatorio del Organismo Supervisor de Inversión Privada en Telecomunicaciones - Osiptel</w:t>
            </w:r>
          </w:p>
        </w:tc>
        <w:tc>
          <w:tcPr>
            <w:tcW w:type="dxa" w:w="1247"/>
          </w:tcPr>
          <w:p>
            <w:pPr>
              <w:spacing w:before="20" w:after="20" w:line="264" w:lineRule="auto"/>
              <w:jc w:val="center"/>
            </w:pPr>
            <w:r>
              <w:rPr>
                <w:rFonts w:ascii="Arial" w:hAnsi="Arial" w:eastAsia="Arial"/>
                <w:b w:val="0"/>
                <w:i w:val="0"/>
                <w:sz w:val="17"/>
              </w:rPr>
              <w:t>01/10/2026</w:t>
            </w:r>
          </w:p>
        </w:tc>
      </w:tr>
      <w:tr>
        <w:trPr>
          <w:cantSplit/>
        </w:trPr>
        <w:tc>
          <w:tcPr>
            <w:tcW w:type="dxa" w:w="567"/>
          </w:tcPr>
          <w:p>
            <w:pPr>
              <w:spacing w:before="20" w:after="20" w:line="264" w:lineRule="auto"/>
              <w:jc w:val="center"/>
            </w:pPr>
            <w:r>
              <w:rPr>
                <w:rFonts w:ascii="Arial" w:hAnsi="Arial" w:eastAsia="Arial"/>
                <w:b/>
                <w:i w:val="0"/>
                <w:color w:val="0A2F5C"/>
                <w:sz w:val="18"/>
              </w:rPr>
              <w:t>11</w:t>
            </w:r>
          </w:p>
        </w:tc>
        <w:tc>
          <w:tcPr>
            <w:tcW w:type="dxa" w:w="2835"/>
          </w:tcPr>
          <w:p>
            <w:pPr>
              <w:spacing w:before="20" w:after="20" w:line="264" w:lineRule="auto"/>
            </w:pPr>
            <w:hyperlink r:id="rId21">
              <w:r>
                <w:rPr>
                  <w:rFonts w:ascii="Arial" w:hAnsi="Arial" w:eastAsia="Arial" w:cs="Arial"/>
                  <w:b/>
                  <w:color w:val="0B5CAD"/>
                  <w:sz w:val="17"/>
                  <w:u w:val="single"/>
                </w:rPr>
                <w:t xml:space="preserve">RESOLUCIÓN MINISTERIAL N° 540-2026-MTC/01</w:t>
              </w:r>
            </w:hyperlink>
          </w:p>
          <w:p>
            <w:pPr>
              <w:spacing w:before="0" w:after="20" w:line="252" w:lineRule="auto"/>
            </w:pPr>
            <w:r>
              <w:rPr>
                <w:rFonts w:ascii="Arial" w:hAnsi="Arial" w:eastAsia="Arial"/>
                <w:b w:val="0"/>
                <w:i w:val="0"/>
                <w:color w:val="5B6880"/>
                <w:sz w:val="15"/>
              </w:rPr>
              <w:t>TRANSPORTES Y COMUNICACIONES</w:t>
            </w:r>
          </w:p>
        </w:tc>
        <w:tc>
          <w:tcPr>
            <w:tcW w:type="dxa" w:w="4762"/>
          </w:tcPr>
          <w:p>
            <w:pPr>
              <w:spacing w:before="20" w:after="20" w:line="264" w:lineRule="auto"/>
            </w:pPr>
            <w:r>
              <w:rPr>
                <w:rFonts w:ascii="Arial" w:hAnsi="Arial" w:eastAsia="Arial"/>
                <w:b w:val="0"/>
                <w:i w:val="0"/>
                <w:sz w:val="17"/>
              </w:rPr>
              <w:t>Aprueban incorporación de dos (2) Inversiones No Programadas (INP) en la Cartera de Inversiones del Programa Multianual de Inversiones (PMI) 2026-2028 del Sector Transportes y Comunicaciones</w:t>
            </w:r>
          </w:p>
        </w:tc>
        <w:tc>
          <w:tcPr>
            <w:tcW w:type="dxa" w:w="1247"/>
          </w:tcPr>
          <w:p>
            <w:pPr>
              <w:spacing w:before="20" w:after="20" w:line="264" w:lineRule="auto"/>
              <w:jc w:val="center"/>
            </w:pPr>
            <w:r>
              <w:rPr>
                <w:rFonts w:ascii="Arial" w:hAnsi="Arial" w:eastAsia="Arial"/>
                <w:b w:val="0"/>
                <w:i w:val="0"/>
                <w:sz w:val="17"/>
              </w:rPr>
              <w:t>01/10/2026</w:t>
            </w:r>
          </w:p>
          <w:p>
            <w:pPr>
              <w:spacing w:before="0" w:after="0" w:line="240" w:lineRule="auto"/>
              <w:jc w:val="center"/>
            </w:pPr>
            <w:r>
              <w:rPr>
                <w:rFonts w:ascii="Arial" w:hAnsi="Arial" w:eastAsia="Arial"/>
                <w:b w:val="0"/>
                <w:i w:val="0"/>
                <w:color w:val="B42318"/>
                <w:sz w:val="14"/>
              </w:rPr>
              <w:t>Edición extraordinaria</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Normatividad presupuestal</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1.  RESOLUCIÓN N° 000214-2026-DV-PE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COMISIÓN NACIONAL PARA EL DESARROLLO Y VIDA SIN DROGAS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Fuerza Aérea del Perú</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hasta por la suma total de CIENTO DIECISIETE MIL SEISCIENTOS Y 00/100 SOLES (S/ 117,600.00), para financiar la Actividad a favor de la entidad ejecutora que se detalla en el Anexo Nº 1, que forma parte integrante de la presente resolución. Artículo Segundo.- DISPONER que la transferencia financiera autorizada por el Artículo Primero, se realice con cargo al presupuesto del año fiscal 2026 del Pliego 012: Comisión Nacional para el Desarrollo y Vida sin Drogas, correspondiente a la fuente de financiamiento “Recursos Ordinarios”. Artículo Tercero.- RATIFICAR que la entidad ejecutora, bajo responsabilidad, sólo destinará los recursos…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117,600.00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2.  RESOLUCIÓN N° 000215-2026-DV-PE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COMISIÓN NACIONAL PARA EL DESARROLLO Y VIDA SIN DROGAS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del Ejército del Perú</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AUTORIZAR la transferencia financiera hasta por la suma total de TRESCIENTOS TREINTA Y CINCO MIL DOSCIENTOS Y 00/100 SOLES (S/ 335,200.00), para financiar la Actividad a favor de la entidad ejecutora que se detalla en el Anexo Nº 1, que forma parte integrante de la presente resolución. Artículo Segundo.- DISPONER que la transferencia financiera autorizada por el Artículo Primero, se realice con cargo al presupuesto del año fiscal 2026 del Pliego 012: Comisión Nacional para el Desarrollo y Vida sin Drogas, correspondiente a la fuente de financiamiento “Recursos Ordinarios”. Artículo Tercero.- RATIFICAR que la entidad ejecutora, bajo responsabilidad, sólo destinará los…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335,200.00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3.  RESOLUCIÓN N° 109-2026-GRA/GR</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GOBIERNO REGIONAL DE ANCASH</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Disponen efectuar transferencia financiera a favor de las municipalidades provinciales y distritales del departamento de Ancash</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Primero.- DISPONER efectuar la transferencia financiera de recursos, hasta por la suma de S/ 150 000 000,00 (Ciento cincuenta millones con 00/100 soles), con cargo a la fuente de financiamiento 4 Donaciones y Transferencias, rubro 13 Donaciones y Transferencias, por el por el importe de S/ 27,926,739.00 y en la fuente de financiamiento 5 Recursos Determinados, rubro 18 Canon, Sobrecanon, Regalías, Renta de Aduanas y Participaciones, por el importe de S/ 122,073,261.00 destinada al financiamiento de los proyectos de inversión priorizados mediante Resolución Gerencial General Regional Nº 529-2026-GRA/GGR, a favor de las Municipalidades Provinciales y Distritales del Departamento 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Montos citados</w:t>
            </w:r>
          </w:p>
        </w:tc>
        <w:tc>
          <w:tcPr>
            <w:tcW w:type="dxa" w:w="7370"/>
          </w:tcPr>
          <w:p>
            <w:pPr>
              <w:spacing w:before="20" w:after="20" w:line="264" w:lineRule="auto"/>
            </w:pPr>
            <w:r>
              <w:rPr>
                <w:rFonts w:ascii="Arial" w:hAnsi="Arial" w:eastAsia="Arial"/>
                <w:b w:val="0"/>
                <w:i w:val="0"/>
                <w:sz w:val="18"/>
              </w:rPr>
              <w:t>S/ 150,000,000.00 · S/ 27,926,739.00 · S/ 122,073,261.00 · S/ 41,440,207.00</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3">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EB6834"/>
            </w:tcBorders>
          </w:tcPr>
          <w:p>
            <w:pPr>
              <w:spacing w:before="20" w:after="20" w:line="264" w:lineRule="auto"/>
            </w:pPr>
            <w:r>
              <w:rPr>
                <w:rFonts w:ascii="Arial" w:hAnsi="Arial" w:eastAsia="Arial"/>
                <w:b/>
                <w:i w:val="0"/>
                <w:color w:val="0A2F5C"/>
                <w:sz w:val="19"/>
              </w:rPr>
              <w:t>4.  RESOLUCIÓN  N° 00215-2026-SUNARP/SN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SUPERINTENDENCIA NACIONAL DE LOS REGISTROS PÚBLICOS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Normatividad presupuestal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Autorizan transferencia financiera a favor de la Contraloría General de la República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4">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2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29">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5.  DECRETO SUPREMO  N° 210-2026-EF</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Decreto Supremo que otorga mediante contrato las seguridades y garantías del Estado Peruano en respaldo de las declaraciones seguridades y obligaciones a cargo del concedente contenidas en el Contrato de Concesión del Proyecto Mejoramiento del sistema de alcantarillado y tratamiento de aguas servidas de la ciudad de Puerto Maldonado - distrito de Tambopata provincia de Tambopata departamento de Madre de Dios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Declaraciones y seguridades Otorgar, mediante contrato, las seguridades y garantías del Estado Peruano, en respaldo de las declaraciones, seguridades y obligaciones a cargo de la Agencia de Promoción de la Inversión Privada - PROINVERSIÓN, en calidad de Concedente, contenidas en el Contrato de Concesión del proyecto “Mejoramiento del sistema de alcantarillado y tratamiento de aguas servidas de la ciudad de Puerto Maldonado - distrito de Tambopata, provincia de Tambopata, departamento de Madre de Dios”, a celebrarse con la empresa Saneamiento Puerto Maldonado S.A., en calidad de Concesionario. Artículo 2.- Ámbito de las seguridades y garantías La amplitud de las seguridades y…</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5">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6.  RESOLUCIÓN MINISTERIAL  N° 443-2026-EF/54</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ECONOMÍA Y FINANZAS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Resolución Ministerial que dispone la publicación del proyecto de Resolución Directoral que aprueba la Directiva que establece las bases estándar en el marco de la Ley Nº 32069 Ley General de Contrataciones Públicas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Publicación del proyecto Se dispone la publicación del proyecto de Resolución Directoral que aprueba la “Directiva que establece las bases estándar en el marco de la Ley Nº 32069, Ley General de Contrataciones Públicas”, en la sede digital del Ministerio de Economía y Finanzas (www.gob.pe/mef) el mismo día de la publicación de la presente Resolución Ministerial en el diario oficial El Peruano, por el plazo de quince (15) días calendario, contados desde el día siguiente de la publicación de la presente Resolución, para recoger las opiniones, comentarios y/o sugerencias de los actores involucrados en la contratación pública, así como del público en general. Artículo 2.- Mecanismo…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6">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3">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7.  RESOLUCIÓN MINISTERIAL N° 421-2026-MINEM/DM</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ENERGÍA Y MINAS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modificación de la cartera de inversiones del Programa Multianual de Inversiones – PMI correspondiente al periodo 2026-2028 del Sector Energía y Minas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modificación de la cartera de inversiones del Programa Multianual de Inversiones - PMI correspondiente al periodo 2026-2028 del Sector Energía y Minas, mediante la incorporación de nueve (09) inversiones No Programadas (INP), las mismas que en Anexo forman parte integrante de la presente Resolución Ministerial. Artículo 2.- Remitir copia de la presente Resolución Ministerial a la Oficina General de Planeamiento y Presupuesto del Ministerio de Energía y Minas y a la Dirección General de Programación Multianual de Inversiones del Ministerio de Economía y Finanzas. Artículo 3.- Disponer la publicación de la presente Resolución Ministerial y su anexo en la sede digital…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7">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4">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5">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8.  RESOLUCIÓN MINISTERIAL N° 422-2026-MINEM/DM</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ENERGÍA Y MINAS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modificación de la cartera de inversiones del Programa Multianual de Inversiones – PMI correspondiente al periodo 2026-2028 del Sector Energía y Minas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modificación de la cartera de inversiones del Programa Multianual de Inversiones - PMI correspondiente al periodo 2026-2028 del Sector Energía y Minas, mediante la incorporación de diecisiete (17) inversiones No Programadas (INP), las mismas que en Anexo forman parte integrante de la presente Resolución Ministerial. Artículo 2.- Remitir copia de la presente Resolución Ministerial a la Oficina General de Planeamiento y Presupuesto del Ministerio de Energía y Minas y a la Dirección General de Programación Multianual de Inversiones del Ministerio de Economía y Finanzas. Artículo 3.- Disponer la publicación de la presente Resolución Ministerial y su anexo en la sede…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8">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6">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7">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9.  RESOLUCIÓN  N° 000125-2026-CD/OSIPTEL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la exclusión de la empresa concesionaria Integratel Perú S.A.A. de las obligaciones relacionadas con la prueba de imputación tarifaria prevista en el Reglamento de Imputación Tarifaria; y dictan otras disposiciones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exclusión del servicio telefónico de larga distancia nacional prestado en la modalidad de abonado y teléfonos públicos, para llamadas que son terminadas y originadas en la red fija, ya sea a través de tarjetas de pago o acceso automático, de la prueba de imputación tarifaria prevista en el Reglamento de Imputación Tarifaria, aprobado mediante Resolución de Consejo Directivo N° 049-2006-CD/OSIPTEL. Artículo 2.- Aprobar la exclusión de la empresa concesionaria Integratel Perú S.A.A. de las obligaciones relacionadas con la prueba de imputación tarifaria prevista en el Reglamento de Imputación Tarifaria, aprobado mediante Resolución de Consejo Directivo N°…</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9">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38">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39">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10.  RESOLUCIÓN  N° 000126-2026-CD/OSIPTEL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SUPERVISOR DE INVERSIÓN PRIVADA EN TELECOMUNICACIONES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Norma que establece disposiciones para la aplicación del Sandbox Regulatorio del Organismo Supervisor de Inversión Privada en Telecomunicaciones - 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Aprobar la Norma que establece disposiciones para la aplicación del Sandbox Regulatorio del Organismo Supervisor de Inversión Privada en Telecomunicaciones - Osiptel, que forma parte integrante de la presente resolución. Artículo 2.- Encargar a la Oficina de Comunicaciones y Relaciones Institucionales: i. Publicar la presente resolución, así como la norma aprobada en el artículo 1 en el diario oficial El Peruano. ii. Publicar la presente resolución, la norma aprobada en el artículo 1, la Exposición de Motivos, el Análisis de Impacto Regulatorio contenido en el Informe Nº 000198-2026-DPRC/OSIPTEL y la Matriz de Comentarios, en la sede digital del Osiptel…</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0">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0">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1">
              <w:r>
                <w:rPr>
                  <w:rFonts w:ascii="Arial" w:hAnsi="Arial" w:eastAsia="Arial" w:cs="Arial"/>
                  <w:color w:val="0B5CAD"/>
                  <w:sz w:val="17"/>
                  <w:u w:val="single"/>
                </w:rPr>
                <w:t xml:space="preserve">PDF</w:t>
              </w:r>
            </w:hyperlink>
          </w:p>
        </w:tc>
      </w:tr>
    </w:tbl>
    <w:p>
      <w:pPr>
        <w:spacing w:before="0" w:after="120" w:line="276" w:lineRule="auto"/>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11.  RESOLUCIÓN MINISTERIAL N° 540-2026-MTC/01</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TRANSPORTES Y 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01/10/2026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Aprueban incorporación de dos (2) Inversiones No Programadas (INP) en la Cartera de Inversiones del Programa Multianual de Inversiones (PMI) 2026-2028 del Sector Transportes y Comunicaciones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Incorporación de inversiones no programadas Aprobar la incorporación de dos (2) Inversiones No Programadas (INP) en la Cartera de Inversiones del Programa Multianual de Inversiones (PMI) 2026-2028 del Sector Transportes y Comunicaciones, aprobado mediante Resolución Ministerial N° 099-2025-MTC/01, conforme al Anexo que forma parte integrante de la presente Resolución Ministerial. Artículo 2.- Comunicación Remitir copia de la presente Resolución Ministerial a la Oficina de Programación Multianual de Inversiones del Ministerio de Transportes y Comunicaciones para los fines pertinentes. Artículo 3.- Publicación Disponer la publicación de la presente Resolución Ministerial y su…</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2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42">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43">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44">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0141-1" TargetMode="External"/><Relationship Id="rId12" Type="http://schemas.openxmlformats.org/officeDocument/2006/relationships/hyperlink" Target="https://busquedas.elperuano.pe/api/visor_html/2560149-1" TargetMode="External"/><Relationship Id="rId13" Type="http://schemas.openxmlformats.org/officeDocument/2006/relationships/hyperlink" Target="https://busquedas.elperuano.pe/api/visor_html/2560112-1" TargetMode="External"/><Relationship Id="rId14" Type="http://schemas.openxmlformats.org/officeDocument/2006/relationships/hyperlink" Target="https://busquedas.elperuano.pe/api/visor_html/2559905-1" TargetMode="External"/><Relationship Id="rId15" Type="http://schemas.openxmlformats.org/officeDocument/2006/relationships/hyperlink" Target="https://busquedas.elperuano.pe/api/visor_html/2560050-1" TargetMode="External"/><Relationship Id="rId16" Type="http://schemas.openxmlformats.org/officeDocument/2006/relationships/hyperlink" Target="https://busquedas.elperuano.pe/api/visor_html/2559788-1" TargetMode="External"/><Relationship Id="rId17" Type="http://schemas.openxmlformats.org/officeDocument/2006/relationships/hyperlink" Target="https://busquedas.elperuano.pe/api/visor_html/2560056-1" TargetMode="External"/><Relationship Id="rId18" Type="http://schemas.openxmlformats.org/officeDocument/2006/relationships/hyperlink" Target="https://busquedas.elperuano.pe/api/visor_html/2560058-1" TargetMode="External"/><Relationship Id="rId19" Type="http://schemas.openxmlformats.org/officeDocument/2006/relationships/hyperlink" Target="https://busquedas.elperuano.pe/api/visor_html/2559208-1" TargetMode="External"/><Relationship Id="rId20" Type="http://schemas.openxmlformats.org/officeDocument/2006/relationships/hyperlink" Target="https://busquedas.elperuano.pe/api/visor_html/2559300-1" TargetMode="External"/><Relationship Id="rId21" Type="http://schemas.openxmlformats.org/officeDocument/2006/relationships/hyperlink" Target="https://busquedas.elperuano.pe/api/visor_html/2560385-1" TargetMode="External"/><Relationship Id="rId22" Type="http://schemas.openxmlformats.org/officeDocument/2006/relationships/hyperlink" Target="https://busquedas.elperuano.pe/dispositivo/EX/2560141-1" TargetMode="External"/><Relationship Id="rId23" Type="http://schemas.openxmlformats.org/officeDocument/2006/relationships/hyperlink" Target="https://busquedas.elperuano.pe/dispositivo/EX/2560141-1/pdf" TargetMode="External"/><Relationship Id="rId24" Type="http://schemas.openxmlformats.org/officeDocument/2006/relationships/hyperlink" Target="https://busquedas.elperuano.pe/dispositivo/EX/2560149-1" TargetMode="External"/><Relationship Id="rId25" Type="http://schemas.openxmlformats.org/officeDocument/2006/relationships/hyperlink" Target="https://busquedas.elperuano.pe/dispositivo/EX/2560149-1/pdf" TargetMode="External"/><Relationship Id="rId26" Type="http://schemas.openxmlformats.org/officeDocument/2006/relationships/hyperlink" Target="https://busquedas.elperuano.pe/dispositivo/EX/2560112-1" TargetMode="External"/><Relationship Id="rId27" Type="http://schemas.openxmlformats.org/officeDocument/2006/relationships/hyperlink" Target="https://busquedas.elperuano.pe/dispositivo/EX/2560112-1/pdf" TargetMode="External"/><Relationship Id="rId28" Type="http://schemas.openxmlformats.org/officeDocument/2006/relationships/hyperlink" Target="https://busquedas.elperuano.pe/dispositivo/NL/2559905-1" TargetMode="External"/><Relationship Id="rId29" Type="http://schemas.openxmlformats.org/officeDocument/2006/relationships/hyperlink" Target="https://busquedas.elperuano.pe/dispositivo/NL/2559905-1/pdf" TargetMode="External"/><Relationship Id="rId30" Type="http://schemas.openxmlformats.org/officeDocument/2006/relationships/hyperlink" Target="https://busquedas.elperuano.pe/dispositivo/NL/2560050-1" TargetMode="External"/><Relationship Id="rId31" Type="http://schemas.openxmlformats.org/officeDocument/2006/relationships/hyperlink" Target="https://busquedas.elperuano.pe/dispositivo/NL/2560050-1/pdf" TargetMode="External"/><Relationship Id="rId32" Type="http://schemas.openxmlformats.org/officeDocument/2006/relationships/hyperlink" Target="https://busquedas.elperuano.pe/dispositivo/NL/2559788-1" TargetMode="External"/><Relationship Id="rId33" Type="http://schemas.openxmlformats.org/officeDocument/2006/relationships/hyperlink" Target="https://busquedas.elperuano.pe/dispositivo/NL/2559788-1/pdf" TargetMode="External"/><Relationship Id="rId34" Type="http://schemas.openxmlformats.org/officeDocument/2006/relationships/hyperlink" Target="https://busquedas.elperuano.pe/dispositivo/EX/2560056-1" TargetMode="External"/><Relationship Id="rId35" Type="http://schemas.openxmlformats.org/officeDocument/2006/relationships/hyperlink" Target="https://busquedas.elperuano.pe/dispositivo/EX/2560056-1/pdf" TargetMode="External"/><Relationship Id="rId36" Type="http://schemas.openxmlformats.org/officeDocument/2006/relationships/hyperlink" Target="https://busquedas.elperuano.pe/dispositivo/EX/2560058-1" TargetMode="External"/><Relationship Id="rId37" Type="http://schemas.openxmlformats.org/officeDocument/2006/relationships/hyperlink" Target="https://busquedas.elperuano.pe/dispositivo/EX/2560058-1/pdf" TargetMode="External"/><Relationship Id="rId38" Type="http://schemas.openxmlformats.org/officeDocument/2006/relationships/hyperlink" Target="https://busquedas.elperuano.pe/dispositivo/NL/2559208-1" TargetMode="External"/><Relationship Id="rId39" Type="http://schemas.openxmlformats.org/officeDocument/2006/relationships/hyperlink" Target="https://busquedas.elperuano.pe/dispositivo/NL/2559208-1/pdf" TargetMode="External"/><Relationship Id="rId40" Type="http://schemas.openxmlformats.org/officeDocument/2006/relationships/hyperlink" Target="https://busquedas.elperuano.pe/dispositivo/NL/2559300-1" TargetMode="External"/><Relationship Id="rId41" Type="http://schemas.openxmlformats.org/officeDocument/2006/relationships/hyperlink" Target="https://busquedas.elperuano.pe/dispositivo/NL/2559300-1/pdf" TargetMode="External"/><Relationship Id="rId42" Type="http://schemas.openxmlformats.org/officeDocument/2006/relationships/hyperlink" Target="https://busquedas.elperuano.pe/dispositivo/EX/2560385-1" TargetMode="External"/><Relationship Id="rId43" Type="http://schemas.openxmlformats.org/officeDocument/2006/relationships/hyperlink" Target="https://busquedas.elperuano.pe/dispositivo/EX/2560385-1/pdf" TargetMode="External"/><Relationship Id="rId44"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