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Arial" w:hAnsi="Arial" w:eastAsia="Arial"/>
          <w:b/>
          <w:i w:val="0"/>
          <w:color w:val="0A2F5C"/>
          <w:sz w:val="36"/>
        </w:rPr>
        <w:t>RESUMEN DE NORMAS LEGALES</w:t>
      </w:r>
    </w:p>
    <w:p>
      <w:pPr>
        <w:spacing w:before="0" w:after="40" w:line="276" w:lineRule="auto"/>
        <w:jc w:val="center"/>
      </w:pPr>
      <w:r>
        <w:rPr>
          <w:rFonts w:ascii="Arial" w:hAnsi="Arial" w:eastAsia="Arial"/>
          <w:b w:val="0"/>
          <w:i w:val="0"/>
          <w:color w:val="5B6880"/>
          <w:sz w:val="21"/>
        </w:rPr>
        <w:t>Diario Oficial El Peruano · Lunes 5 de octubre de 2026</w:t>
      </w:r>
    </w:p>
    <w:p>
      <w:pPr>
        <w:spacing w:before="0" w:after="200" w:line="276" w:lineRule="auto"/>
        <w:pBdr>
          <w:bottom w:val="single" w:sz="18" w:space="1" w:color="0A2F5C"/>
        </w:pBdr>
      </w:pP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c>
          <w:tcPr>
            <w:tcW w:type="dxa" w:w="2041"/>
            <w:shd w:val="clear" w:color="auto" w:fill="F2F5FA"/>
          </w:tcPr>
          <w:p>
            <w:pPr>
              <w:spacing w:before="20" w:after="20" w:line="264" w:lineRule="auto"/>
            </w:pPr>
            <w:r>
              <w:rPr>
                <w:rFonts w:ascii="Arial" w:hAnsi="Arial" w:eastAsia="Arial"/>
                <w:b/>
                <w:i w:val="0"/>
                <w:color w:val="0A2F5C"/>
                <w:sz w:val="17"/>
              </w:rPr>
              <w:t>Periodo revisado</w:t>
            </w:r>
          </w:p>
        </w:tc>
        <w:tc>
          <w:tcPr>
            <w:tcW w:type="dxa" w:w="2665"/>
          </w:tcPr>
          <w:p>
            <w:pPr>
              <w:spacing w:before="20" w:after="20" w:line="264" w:lineRule="auto"/>
            </w:pPr>
            <w:r>
              <w:rPr>
                <w:rFonts w:ascii="Arial" w:hAnsi="Arial" w:eastAsia="Arial"/>
                <w:b w:val="0"/>
                <w:i w:val="0"/>
                <w:sz w:val="19"/>
              </w:rPr>
              <w:t>05/10/2026</w:t>
            </w:r>
          </w:p>
        </w:tc>
        <w:tc>
          <w:tcPr>
            <w:tcW w:type="dxa" w:w="2041"/>
            <w:shd w:val="clear" w:color="auto" w:fill="F2F5FA"/>
          </w:tcPr>
          <w:p>
            <w:pPr>
              <w:spacing w:before="20" w:after="20" w:line="264" w:lineRule="auto"/>
            </w:pPr>
            <w:r>
              <w:rPr>
                <w:rFonts w:ascii="Arial" w:hAnsi="Arial" w:eastAsia="Arial"/>
                <w:b/>
                <w:i w:val="0"/>
                <w:color w:val="0A2F5C"/>
                <w:sz w:val="17"/>
              </w:rPr>
              <w:t>Fecha de elaboración</w:t>
            </w:r>
          </w:p>
        </w:tc>
        <w:tc>
          <w:tcPr>
            <w:tcW w:type="dxa" w:w="2665"/>
          </w:tcPr>
          <w:p>
            <w:pPr>
              <w:spacing w:before="20" w:after="20" w:line="264" w:lineRule="auto"/>
            </w:pPr>
            <w:r>
              <w:rPr>
                <w:rFonts w:ascii="Arial" w:hAnsi="Arial" w:eastAsia="Arial"/>
                <w:b w:val="0"/>
                <w:i w:val="0"/>
                <w:sz w:val="19"/>
              </w:rPr>
              <w:t>27/10/2026 11:06</w:t>
            </w:r>
          </w:p>
        </w:tc>
      </w:tr>
      <w:tr>
        <w:tc>
          <w:tcPr>
            <w:tcW w:type="dxa" w:w="2041"/>
            <w:shd w:val="clear" w:color="auto" w:fill="F2F5FA"/>
          </w:tcPr>
          <w:p>
            <w:pPr>
              <w:spacing w:before="20" w:after="20" w:line="264" w:lineRule="auto"/>
            </w:pPr>
            <w:r>
              <w:rPr>
                <w:rFonts w:ascii="Arial" w:hAnsi="Arial" w:eastAsia="Arial"/>
                <w:b/>
                <w:i w:val="0"/>
                <w:color w:val="0A2F5C"/>
                <w:sz w:val="17"/>
              </w:rPr>
              <w:t>Normas publicadas</w:t>
            </w:r>
          </w:p>
        </w:tc>
        <w:tc>
          <w:tcPr>
            <w:tcW w:type="dxa" w:w="2665"/>
          </w:tcPr>
          <w:p>
            <w:pPr>
              <w:spacing w:before="20" w:after="20" w:line="264" w:lineRule="auto"/>
            </w:pPr>
            <w:r>
              <w:rPr>
                <w:rFonts w:ascii="Arial" w:hAnsi="Arial" w:eastAsia="Arial"/>
                <w:b w:val="0"/>
                <w:i w:val="0"/>
                <w:sz w:val="19"/>
              </w:rPr>
              <w:t>27</w:t>
            </w:r>
          </w:p>
        </w:tc>
        <w:tc>
          <w:tcPr>
            <w:tcW w:type="dxa" w:w="2041"/>
            <w:shd w:val="clear" w:color="auto" w:fill="F2F5FA"/>
          </w:tcPr>
          <w:p>
            <w:pPr>
              <w:spacing w:before="20" w:after="20" w:line="264" w:lineRule="auto"/>
            </w:pPr>
            <w:r>
              <w:rPr>
                <w:rFonts w:ascii="Arial" w:hAnsi="Arial" w:eastAsia="Arial"/>
                <w:b/>
                <w:i w:val="0"/>
                <w:color w:val="0A2F5C"/>
                <w:sz w:val="17"/>
              </w:rPr>
              <w:t>Normas de interés</w:t>
            </w:r>
          </w:p>
        </w:tc>
        <w:tc>
          <w:tcPr>
            <w:tcW w:type="dxa" w:w="2665"/>
          </w:tcPr>
          <w:p>
            <w:pPr>
              <w:spacing w:before="20" w:after="20" w:line="264" w:lineRule="auto"/>
            </w:pPr>
            <w:r>
              <w:rPr>
                <w:rFonts w:ascii="Arial" w:hAnsi="Arial" w:eastAsia="Arial"/>
                <w:b/>
                <w:i w:val="0"/>
                <w:color w:val="0A2F5C"/>
                <w:sz w:val="19"/>
              </w:rPr>
              <w:t>2</w:t>
            </w:r>
          </w:p>
        </w:tc>
      </w:tr>
    </w:tbl>
    <w:p>
      <w:pPr>
        <w:spacing w:before="280" w:after="120" w:line="276" w:lineRule="auto"/>
        <w:keepNext/>
        <w:pBdr>
          <w:bottom w:val="single" w:sz="6" w:space="2" w:color="C9D2DF"/>
        </w:pBdr>
      </w:pPr>
      <w:r>
        <w:rPr>
          <w:rFonts w:ascii="Arial" w:hAnsi="Arial" w:eastAsia="Arial"/>
          <w:b/>
          <w:i w:val="0"/>
          <w:color w:val="0A2F5C"/>
          <w:sz w:val="22"/>
        </w:rPr>
        <w:t>1. RESUMEN EJECUTIVO</w:t>
      </w:r>
    </w:p>
    <w:p>
      <w:pPr>
        <w:spacing w:before="0" w:after="160" w:line="276" w:lineRule="auto"/>
        <w:jc w:val="both"/>
      </w:pPr>
      <w:r>
        <w:rPr>
          <w:rFonts w:ascii="Arial" w:hAnsi="Arial" w:eastAsia="Arial"/>
          <w:b w:val="0"/>
          <w:i w:val="0"/>
          <w:sz w:val="20"/>
        </w:rPr>
        <w:t>De las 27 normas publicadas en el periodo, 2 resultan de interés institucional: 1 sobre la ATU y el transporte urbano y 1 de inversiones. El Cuadro 1 presenta la relación completa y la sección 2, el detalle de cada norma.</w:t>
      </w:r>
    </w:p>
    <w:tbl>
      <w:tblPr>
        <w:tblW w:type="auto" w:w="0"/>
        <w:tblLook w:firstColumn="1" w:firstRow="1" w:lastColumn="0" w:lastRow="0" w:noHBand="0" w:noVBand="1" w:val="04A0"/>
        <w:tblBorders>
          <w:top w:val="single" w:sz="4" w:space="0" w:color="F4C7C3"/>
          <w:left w:val="single" w:sz="4" w:space="0" w:color="F4C7C3"/>
          <w:bottom w:val="single" w:sz="4" w:space="0" w:color="F4C7C3"/>
          <w:right w:val="single" w:sz="4" w:space="0" w:color="F4C7C3"/>
        </w:tblBorders>
        <w:tblLayout w:type="fixed"/>
        <w:tblCellMar>
          <w:top w:w="50" w:type="dxa"/>
          <w:bottom w:w="50" w:type="dxa"/>
          <w:left w:w="100" w:type="dxa"/>
          <w:right w:w="100" w:type="dxa"/>
        </w:tblCellMar>
      </w:tblPr>
      <w:tblGrid>
        <w:gridCol w:w="9412"/>
      </w:tblGrid>
      <w:tr>
        <w:tc>
          <w:tcPr>
            <w:tcW w:type="dxa" w:w="9411"/>
            <w:shd w:val="clear" w:color="auto" w:fill="FDF3F2"/>
            <w:tcBorders>
              <w:left w:val="single" w:sz="24" w:space="0" w:color="B42318"/>
            </w:tcBorders>
          </w:tcPr>
          <w:p>
            <w:pPr>
              <w:spacing w:before="20" w:after="20" w:line="264" w:lineRule="auto"/>
            </w:pPr>
            <w:r>
              <w:rPr>
                <w:rFonts w:ascii="Arial" w:hAnsi="Arial" w:eastAsia="Arial"/>
                <w:b/>
                <w:i w:val="0"/>
                <w:color w:val="B42318"/>
                <w:sz w:val="18"/>
              </w:rPr>
              <w:t>ATENCIÓN: 1 norma involucra directamente a la ATU</w:t>
            </w:r>
          </w:p>
          <w:p>
            <w:pPr>
              <w:spacing w:before="0" w:after="20" w:line="264" w:lineRule="auto"/>
            </w:pPr>
            <w:r>
              <w:rPr>
                <w:rFonts w:ascii="Arial" w:hAnsi="Arial" w:eastAsia="Arial"/>
                <w:b w:val="0"/>
                <w:i w:val="0"/>
                <w:color w:val="B42318"/>
                <w:sz w:val="18"/>
              </w:rPr>
              <w:t xml:space="preserve">▪ </w:t>
            </w:r>
            <w:r>
              <w:rPr>
                <w:rFonts w:ascii="Arial" w:hAnsi="Arial" w:eastAsia="Arial"/>
                <w:b/>
                <w:i w:val="0"/>
                <w:sz w:val="18"/>
              </w:rPr>
              <w:t>RESOLUCIÓN  N° 227-2026-ATU/PE</w:t>
            </w:r>
            <w:r>
              <w:rPr>
                <w:rFonts w:ascii="Arial" w:hAnsi="Arial" w:eastAsia="Arial"/>
                <w:b w:val="0"/>
                <w:i w:val="0"/>
                <w:sz w:val="18"/>
              </w:rPr>
              <w:t xml:space="preserve"> (Autoridad de Transporte Urbano para Lima y Callao): Designan Jefe de la Oficina de Asesoría Jurídica de la Autoridad de Transporte Urbano para Lima y Callao - ATU</w:t>
            </w:r>
          </w:p>
        </w:tc>
      </w:tr>
    </w:tbl>
    <w:p>
      <w:pPr>
        <w:spacing w:before="0" w:after="80" w:line="276" w:lineRule="auto"/>
      </w:pPr>
    </w:p>
    <w:p>
      <w:pPr>
        <w:keepNext/>
        <w:spacing w:before="80" w:after="60" w:line="276" w:lineRule="auto"/>
      </w:pPr>
      <w:r>
        <w:rPr>
          <w:rFonts w:ascii="Arial" w:hAnsi="Arial" w:eastAsia="Arial"/>
          <w:b/>
          <w:i w:val="0"/>
          <w:color w:val="0A2F5C"/>
          <w:sz w:val="18"/>
        </w:rPr>
        <w:t>Cuadro 1. Normas de interés identificadas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2353"/>
        <w:gridCol w:w="2353"/>
        <w:gridCol w:w="2353"/>
        <w:gridCol w:w="2353"/>
      </w:tblGrid>
      <w:tr>
        <w:trPr>
          <w:cantSplit/>
          <w:tblHeader/>
        </w:trPr>
        <w:tc>
          <w:tcPr>
            <w:tcW w:type="dxa" w:w="567"/>
            <w:shd w:val="clear" w:color="auto" w:fill="0A2F5C"/>
          </w:tcPr>
          <w:p>
            <w:pPr>
              <w:spacing w:before="20" w:after="20" w:line="264" w:lineRule="auto"/>
              <w:jc w:val="center"/>
            </w:pPr>
            <w:r>
              <w:rPr>
                <w:rFonts w:ascii="Arial" w:hAnsi="Arial" w:eastAsia="Arial"/>
                <w:b/>
                <w:i w:val="0"/>
                <w:color w:val="FFFFFF"/>
                <w:sz w:val="17"/>
              </w:rPr>
              <w:t>N.°</w:t>
            </w:r>
          </w:p>
        </w:tc>
        <w:tc>
          <w:tcPr>
            <w:tcW w:type="dxa" w:w="2835"/>
            <w:shd w:val="clear" w:color="auto" w:fill="0A2F5C"/>
          </w:tcPr>
          <w:p>
            <w:pPr>
              <w:spacing w:before="20" w:after="20" w:line="264" w:lineRule="auto"/>
              <w:jc w:val="center"/>
            </w:pPr>
            <w:r>
              <w:rPr>
                <w:rFonts w:ascii="Arial" w:hAnsi="Arial" w:eastAsia="Arial"/>
                <w:b/>
                <w:i w:val="0"/>
                <w:color w:val="FFFFFF"/>
                <w:sz w:val="17"/>
              </w:rPr>
              <w:t>Norma y entidad emisora</w:t>
            </w:r>
          </w:p>
        </w:tc>
        <w:tc>
          <w:tcPr>
            <w:tcW w:type="dxa" w:w="4762"/>
            <w:shd w:val="clear" w:color="auto" w:fill="0A2F5C"/>
          </w:tcPr>
          <w:p>
            <w:pPr>
              <w:spacing w:before="20" w:after="20" w:line="264" w:lineRule="auto"/>
              <w:jc w:val="center"/>
            </w:pPr>
            <w:r>
              <w:rPr>
                <w:rFonts w:ascii="Arial" w:hAnsi="Arial" w:eastAsia="Arial"/>
                <w:b/>
                <w:i w:val="0"/>
                <w:color w:val="FFFFFF"/>
                <w:sz w:val="17"/>
              </w:rPr>
              <w:t>Sumilla</w:t>
            </w:r>
          </w:p>
        </w:tc>
        <w:tc>
          <w:tcPr>
            <w:tcW w:type="dxa" w:w="1247"/>
            <w:shd w:val="clear" w:color="auto" w:fill="0A2F5C"/>
          </w:tcPr>
          <w:p>
            <w:pPr>
              <w:spacing w:before="20" w:after="20" w:line="264" w:lineRule="auto"/>
              <w:jc w:val="center"/>
            </w:pPr>
            <w:r>
              <w:rPr>
                <w:rFonts w:ascii="Arial" w:hAnsi="Arial" w:eastAsia="Arial"/>
                <w:b/>
                <w:i w:val="0"/>
                <w:color w:val="FFFFFF"/>
                <w:sz w:val="17"/>
              </w:rPr>
              <w:t>Publicación</w:t>
            </w:r>
          </w:p>
        </w:tc>
      </w:tr>
      <w:tr>
        <w:trPr>
          <w:cantSplit/>
        </w:trPr>
        <w:tc>
          <w:tcPr>
            <w:tcW w:type="dxa" w:w="1247"/>
            <w:gridSpan w:val="4"/>
            <w:shd w:val="clear" w:color="auto" w:fill="F2F5FA"/>
            <w:tcBorders>
              <w:left w:val="single" w:sz="30" w:space="0" w:color="2A78D6"/>
            </w:tcBorders>
          </w:tcPr>
          <w:p>
            <w:pPr>
              <w:spacing w:before="20" w:after="20" w:line="264" w:lineRule="auto"/>
            </w:pPr>
            <w:r>
              <w:rPr>
                <w:rFonts w:ascii="Arial" w:hAnsi="Arial" w:eastAsia="Arial"/>
                <w:b/>
                <w:i w:val="0"/>
                <w:color w:val="0A2F5C"/>
                <w:sz w:val="17"/>
              </w:rPr>
              <w:t>ATU Y TRANSPORTE URBANO  (1)</w:t>
            </w:r>
          </w:p>
        </w:tc>
      </w:tr>
      <w:tr>
        <w:trPr>
          <w:cantSplit/>
        </w:trPr>
        <w:tc>
          <w:tcPr>
            <w:tcW w:type="dxa" w:w="567"/>
          </w:tcPr>
          <w:p>
            <w:pPr>
              <w:spacing w:before="20" w:after="20" w:line="264" w:lineRule="auto"/>
              <w:jc w:val="center"/>
            </w:pPr>
            <w:r>
              <w:rPr>
                <w:rFonts w:ascii="Arial" w:hAnsi="Arial" w:eastAsia="Arial"/>
                <w:b/>
                <w:i w:val="0"/>
                <w:color w:val="0A2F5C"/>
                <w:sz w:val="18"/>
              </w:rPr>
              <w:t>1</w:t>
            </w:r>
          </w:p>
        </w:tc>
        <w:tc>
          <w:tcPr>
            <w:tcW w:type="dxa" w:w="2835"/>
          </w:tcPr>
          <w:p>
            <w:pPr>
              <w:spacing w:before="20" w:after="20" w:line="264" w:lineRule="auto"/>
            </w:pPr>
            <w:hyperlink r:id="rId11">
              <w:r>
                <w:rPr>
                  <w:rFonts w:ascii="Arial" w:hAnsi="Arial" w:eastAsia="Arial" w:cs="Arial"/>
                  <w:b/>
                  <w:color w:val="0B5CAD"/>
                  <w:sz w:val="17"/>
                  <w:u w:val="single"/>
                </w:rPr>
                <w:t xml:space="preserve">RESOLUCIÓN  N° 227-2026-ATU/PE</w:t>
              </w:r>
            </w:hyperlink>
          </w:p>
          <w:p>
            <w:pPr>
              <w:spacing w:before="0" w:after="20" w:line="252" w:lineRule="auto"/>
            </w:pPr>
            <w:r>
              <w:rPr>
                <w:rFonts w:ascii="Arial" w:hAnsi="Arial" w:eastAsia="Arial"/>
                <w:b w:val="0"/>
                <w:i w:val="0"/>
                <w:color w:val="5B6880"/>
                <w:sz w:val="15"/>
              </w:rPr>
              <w:t>AUTORIDAD DE TRANSPORTE URBANO PARA LIMA Y CALLAO</w:t>
            </w:r>
          </w:p>
        </w:tc>
        <w:tc>
          <w:tcPr>
            <w:tcW w:type="dxa" w:w="4762"/>
          </w:tcPr>
          <w:p>
            <w:pPr>
              <w:spacing w:before="20" w:after="20" w:line="264" w:lineRule="auto"/>
            </w:pPr>
            <w:r>
              <w:rPr>
                <w:rFonts w:ascii="Arial" w:hAnsi="Arial" w:eastAsia="Arial"/>
                <w:b w:val="0"/>
                <w:i w:val="0"/>
                <w:sz w:val="17"/>
              </w:rPr>
              <w:t>Designan Jefe de la Oficina de Asesoría Jurídica de la Autoridad de Transporte Urbano para Lima y Callao - ATU</w:t>
            </w:r>
          </w:p>
        </w:tc>
        <w:tc>
          <w:tcPr>
            <w:tcW w:type="dxa" w:w="1247"/>
          </w:tcPr>
          <w:p>
            <w:pPr>
              <w:spacing w:before="20" w:after="20" w:line="264" w:lineRule="auto"/>
              <w:jc w:val="center"/>
            </w:pPr>
            <w:r>
              <w:rPr>
                <w:rFonts w:ascii="Arial" w:hAnsi="Arial" w:eastAsia="Arial"/>
                <w:b w:val="0"/>
                <w:i w:val="0"/>
                <w:sz w:val="17"/>
              </w:rPr>
              <w:t>05/10/2026</w:t>
            </w:r>
          </w:p>
        </w:tc>
      </w:tr>
      <w:tr>
        <w:trPr>
          <w:cantSplit/>
        </w:trPr>
        <w:tc>
          <w:tcPr>
            <w:tcW w:type="dxa" w:w="1247"/>
            <w:gridSpan w:val="4"/>
            <w:shd w:val="clear" w:color="auto" w:fill="F2F5FA"/>
            <w:tcBorders>
              <w:left w:val="single" w:sz="30" w:space="0" w:color="1BAF7A"/>
            </w:tcBorders>
          </w:tcPr>
          <w:p>
            <w:pPr>
              <w:spacing w:before="20" w:after="20" w:line="264" w:lineRule="auto"/>
            </w:pPr>
            <w:r>
              <w:rPr>
                <w:rFonts w:ascii="Arial" w:hAnsi="Arial" w:eastAsia="Arial"/>
                <w:b/>
                <w:i w:val="0"/>
                <w:color w:val="0A2F5C"/>
                <w:sz w:val="17"/>
              </w:rPr>
              <w:t>INVERSIONES  (1)</w:t>
            </w:r>
          </w:p>
        </w:tc>
      </w:tr>
      <w:tr>
        <w:trPr>
          <w:cantSplit/>
        </w:trPr>
        <w:tc>
          <w:tcPr>
            <w:tcW w:type="dxa" w:w="567"/>
          </w:tcPr>
          <w:p>
            <w:pPr>
              <w:spacing w:before="20" w:after="20" w:line="264" w:lineRule="auto"/>
              <w:jc w:val="center"/>
            </w:pPr>
            <w:r>
              <w:rPr>
                <w:rFonts w:ascii="Arial" w:hAnsi="Arial" w:eastAsia="Arial"/>
                <w:b/>
                <w:i w:val="0"/>
                <w:color w:val="0A2F5C"/>
                <w:sz w:val="18"/>
              </w:rPr>
              <w:t>2</w:t>
            </w:r>
          </w:p>
        </w:tc>
        <w:tc>
          <w:tcPr>
            <w:tcW w:type="dxa" w:w="2835"/>
          </w:tcPr>
          <w:p>
            <w:pPr>
              <w:spacing w:before="20" w:after="20" w:line="264" w:lineRule="auto"/>
            </w:pPr>
            <w:hyperlink r:id="rId12">
              <w:r>
                <w:rPr>
                  <w:rFonts w:ascii="Arial" w:hAnsi="Arial" w:eastAsia="Arial" w:cs="Arial"/>
                  <w:b/>
                  <w:color w:val="0B5CAD"/>
                  <w:sz w:val="17"/>
                  <w:u w:val="single"/>
                </w:rPr>
                <w:t xml:space="preserve">RESOLUCIÓN N° D000293-2026-OECE-PRE</w:t>
              </w:r>
            </w:hyperlink>
          </w:p>
          <w:p>
            <w:pPr>
              <w:spacing w:before="0" w:after="20" w:line="252" w:lineRule="auto"/>
            </w:pPr>
            <w:r>
              <w:rPr>
                <w:rFonts w:ascii="Arial" w:hAnsi="Arial" w:eastAsia="Arial"/>
                <w:b w:val="0"/>
                <w:i w:val="0"/>
                <w:color w:val="5B6880"/>
                <w:sz w:val="15"/>
              </w:rPr>
              <w:t>ORGANISMO ESPECIALIZADO PARA LAS CONTRATACIONES PÚBLICAS EFICIENTES</w:t>
            </w:r>
          </w:p>
        </w:tc>
        <w:tc>
          <w:tcPr>
            <w:tcW w:type="dxa" w:w="4762"/>
          </w:tcPr>
          <w:p>
            <w:pPr>
              <w:spacing w:before="20" w:after="20" w:line="264" w:lineRule="auto"/>
            </w:pPr>
            <w:r>
              <w:rPr>
                <w:rFonts w:ascii="Arial" w:hAnsi="Arial" w:eastAsia="Arial"/>
                <w:b w:val="0"/>
                <w:i w:val="0"/>
                <w:sz w:val="17"/>
              </w:rPr>
              <w:t>Formalizan Acuerdo que aprueba la reconformación de las Salas del Tribunal de Contrataciones Públicas</w:t>
            </w:r>
          </w:p>
        </w:tc>
        <w:tc>
          <w:tcPr>
            <w:tcW w:type="dxa" w:w="1247"/>
          </w:tcPr>
          <w:p>
            <w:pPr>
              <w:spacing w:before="20" w:after="20" w:line="264" w:lineRule="auto"/>
              <w:jc w:val="center"/>
            </w:pPr>
            <w:r>
              <w:rPr>
                <w:rFonts w:ascii="Arial" w:hAnsi="Arial" w:eastAsia="Arial"/>
                <w:b w:val="0"/>
                <w:i w:val="0"/>
                <w:sz w:val="17"/>
              </w:rPr>
              <w:t>05/10/2026</w:t>
            </w:r>
          </w:p>
          <w:p>
            <w:pPr>
              <w:spacing w:before="0" w:after="0" w:line="240" w:lineRule="auto"/>
              <w:jc w:val="center"/>
            </w:pPr>
            <w:r>
              <w:rPr>
                <w:rFonts w:ascii="Arial" w:hAnsi="Arial" w:eastAsia="Arial"/>
                <w:b w:val="0"/>
                <w:i w:val="0"/>
                <w:color w:val="B42318"/>
                <w:sz w:val="14"/>
              </w:rPr>
              <w:t>Edición extraordinaria</w:t>
            </w:r>
          </w:p>
        </w:tc>
      </w:tr>
    </w:tbl>
    <w:p>
      <w:pPr>
        <w:spacing w:before="280" w:after="120" w:line="276" w:lineRule="auto"/>
        <w:keepNext/>
        <w:pBdr>
          <w:bottom w:val="single" w:sz="6" w:space="2" w:color="C9D2DF"/>
        </w:pBdr>
      </w:pPr>
      <w:r>
        <w:rPr>
          <w:rFonts w:ascii="Arial" w:hAnsi="Arial" w:eastAsia="Arial"/>
          <w:b/>
          <w:i w:val="0"/>
          <w:color w:val="0A2F5C"/>
          <w:sz w:val="22"/>
        </w:rPr>
        <w:t>2. DETALLE DE LAS NORMAS</w:t>
      </w:r>
    </w:p>
    <w:p>
      <w:pPr>
        <w:keepNext/>
        <w:spacing w:before="160" w:after="80" w:line="276" w:lineRule="auto"/>
      </w:pPr>
      <w:r>
        <w:rPr>
          <w:rFonts w:ascii="Arial" w:hAnsi="Arial" w:eastAsia="Arial"/>
          <w:b/>
          <w:i w:val="0"/>
          <w:color w:val="0B5CAD"/>
          <w:sz w:val="21"/>
        </w:rPr>
        <w:t>2.1  ATU y transporte urbano</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2A78D6"/>
            </w:tcBorders>
          </w:tcPr>
          <w:p>
            <w:pPr>
              <w:spacing w:before="20" w:after="20" w:line="264" w:lineRule="auto"/>
            </w:pPr>
            <w:r>
              <w:rPr>
                <w:rFonts w:ascii="Arial" w:hAnsi="Arial" w:eastAsia="Arial"/>
                <w:b/>
                <w:i w:val="0"/>
                <w:color w:val="0A2F5C"/>
                <w:sz w:val="19"/>
              </w:rPr>
              <w:t>1.  RESOLUCIÓN  N° 227-2026-ATU/PE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AUTORIDAD DE TRANSPORTE URBANO PARA LIMA Y CALLAO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05/10/2026 · Edición 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ATU y transporte urbano</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Designan Jefe de la Oficina de Asesoría Jurídica de la Autoridad de Transporte Urbano para Lima y Callao - ATU</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Designar, a partir del día 5 de octubre de 2026, al señor CRISTIAN DAVID DONDERO CASSANO en el puesto de Jefe de la Oficina de Asesoría Jurídica con Código AIRHSP N° 000003 de la Autoridad de Transporte Urbano para Lima y Callao - ATU. Artículo 2.- Notificar la presente resolución al señor CRISTIAN DAVID DONDERO CASSANO y a la Oficina de Gestión de Recursos Humanos, para los fines pertinentes. Artículo 3.- Disponer la publicación de la presente resolución en el Diario Oficial “El Peruano” y en la sede digital de la Autoridad de Transporte Urbano para Lima y Callao - ATU ( https://www.gob.pe/atu ). Regístrese, comuníquese y publíquese. DAVID AUGUSTO HERNÁNDEZ SALAZAR Presidente…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1">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3">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4">
              <w:r>
                <w:rPr>
                  <w:rFonts w:ascii="Arial" w:hAnsi="Arial" w:eastAsia="Arial" w:cs="Arial"/>
                  <w:color w:val="0B5CAD"/>
                  <w:sz w:val="17"/>
                  <w:u w:val="single"/>
                </w:rPr>
                <w:t xml:space="preserve">PDF</w:t>
              </w:r>
            </w:hyperlink>
          </w:p>
        </w:tc>
      </w:tr>
    </w:tbl>
    <w:p>
      <w:pPr>
        <w:spacing w:before="0" w:after="120" w:line="276" w:lineRule="auto"/>
      </w:pPr>
    </w:p>
    <w:p>
      <w:pPr>
        <w:keepNext/>
        <w:spacing w:before="160" w:after="80" w:line="276" w:lineRule="auto"/>
      </w:pPr>
      <w:r>
        <w:rPr>
          <w:rFonts w:ascii="Arial" w:hAnsi="Arial" w:eastAsia="Arial"/>
          <w:b/>
          <w:i w:val="0"/>
          <w:color w:val="0B5CAD"/>
          <w:sz w:val="21"/>
        </w:rPr>
        <w:t>2.2  Inversiones</w:t>
      </w:r>
    </w:p>
    <w:tbl>
      <w:tblPr>
        <w:tblW w:type="auto" w:w="0"/>
        <w:tblLook w:firstColumn="1" w:firstRow="1" w:lastColumn="0" w:lastRow="0" w:noHBand="0" w:noVBand="1" w:val="04A0"/>
        <w:tblBorders>
          <w:top w:val="single" w:sz="4" w:space="0" w:color="C9D2DF"/>
          <w:left w:val="single" w:sz="4" w:space="0" w:color="C9D2DF"/>
          <w:bottom w:val="single" w:sz="4" w:space="0" w:color="C9D2DF"/>
          <w:right w:val="single" w:sz="4" w:space="0" w:color="C9D2DF"/>
          <w:insideH w:val="single" w:sz="4" w:space="0" w:color="C9D2DF"/>
          <w:insideV w:val="single" w:sz="4" w:space="0" w:color="C9D2DF"/>
        </w:tblBorders>
        <w:tblLayout w:type="fixed"/>
        <w:tblCellMar>
          <w:top w:w="50" w:type="dxa"/>
          <w:bottom w:w="50" w:type="dxa"/>
          <w:left w:w="100" w:type="dxa"/>
          <w:right w:w="100" w:type="dxa"/>
        </w:tblCellMar>
      </w:tblPr>
      <w:tblGrid>
        <w:gridCol w:w="4706"/>
        <w:gridCol w:w="4706"/>
      </w:tblGrid>
      <w:tr>
        <w:trPr>
          <w:cantSplit/>
        </w:trPr>
        <w:tc>
          <w:tcPr>
            <w:tcW w:type="dxa" w:w="7370"/>
            <w:gridSpan w:val="2"/>
            <w:shd w:val="clear" w:color="auto" w:fill="E8F0FA"/>
            <w:tcBorders>
              <w:left w:val="single" w:sz="30" w:space="0" w:color="1BAF7A"/>
            </w:tcBorders>
          </w:tcPr>
          <w:p>
            <w:pPr>
              <w:spacing w:before="20" w:after="20" w:line="264" w:lineRule="auto"/>
            </w:pPr>
            <w:r>
              <w:rPr>
                <w:rFonts w:ascii="Arial" w:hAnsi="Arial" w:eastAsia="Arial"/>
                <w:b/>
                <w:i w:val="0"/>
                <w:color w:val="0A2F5C"/>
                <w:sz w:val="19"/>
              </w:rPr>
              <w:t>2.  RESOLUCIÓN N° D000293-2026-OECE-PRE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Entidad emisora</w:t>
            </w:r>
          </w:p>
        </w:tc>
        <w:tc>
          <w:tcPr>
            <w:tcW w:type="dxa" w:w="7370"/>
          </w:tcPr>
          <w:p>
            <w:pPr>
              <w:spacing w:before="20" w:after="20" w:line="264" w:lineRule="auto"/>
            </w:pPr>
            <w:r>
              <w:rPr>
                <w:rFonts w:ascii="Arial" w:hAnsi="Arial" w:eastAsia="Arial"/>
                <w:b w:val="0"/>
                <w:i w:val="0"/>
                <w:sz w:val="18"/>
              </w:rPr>
              <w:t>ORGANISMO ESPECIALIZADO PARA LAS CONTRATACIONES PÚBLICAS EFICIENTES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Publicación</w:t>
            </w:r>
          </w:p>
        </w:tc>
        <w:tc>
          <w:tcPr>
            <w:tcW w:type="dxa" w:w="7370"/>
          </w:tcPr>
          <w:p>
            <w:pPr>
              <w:spacing w:before="20" w:after="20" w:line="264" w:lineRule="auto"/>
            </w:pPr>
            <w:r>
              <w:rPr>
                <w:rFonts w:ascii="Arial" w:hAnsi="Arial" w:eastAsia="Arial"/>
                <w:b w:val="0"/>
                <w:i w:val="0"/>
                <w:sz w:val="18"/>
              </w:rPr>
              <w:t>05/10/2026 · Edición extraordinaria</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Temas</w:t>
            </w:r>
          </w:p>
        </w:tc>
        <w:tc>
          <w:tcPr>
            <w:tcW w:type="dxa" w:w="7370"/>
          </w:tcPr>
          <w:p>
            <w:pPr>
              <w:spacing w:before="20" w:after="20" w:line="264" w:lineRule="auto"/>
            </w:pPr>
            <w:r>
              <w:rPr>
                <w:rFonts w:ascii="Arial" w:hAnsi="Arial" w:eastAsia="Arial"/>
                <w:b w:val="0"/>
                <w:i w:val="0"/>
                <w:sz w:val="18"/>
              </w:rPr>
              <w:t>Inversiones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Sumilla</w:t>
            </w:r>
          </w:p>
        </w:tc>
        <w:tc>
          <w:tcPr>
            <w:tcW w:type="dxa" w:w="7370"/>
          </w:tcPr>
          <w:p>
            <w:pPr>
              <w:spacing w:before="20" w:after="20" w:line="264" w:lineRule="auto"/>
            </w:pPr>
            <w:r>
              <w:rPr>
                <w:rFonts w:ascii="Arial" w:hAnsi="Arial" w:eastAsia="Arial"/>
                <w:b w:val="0"/>
                <w:i w:val="0"/>
                <w:sz w:val="18"/>
              </w:rPr>
              <w:t>Formalizan Acuerdo que aprueba la reconformación de las Salas del Tribunal de Contrataciones Públicas</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Disposición principal</w:t>
            </w:r>
          </w:p>
        </w:tc>
        <w:tc>
          <w:tcPr>
            <w:tcW w:type="dxa" w:w="7370"/>
          </w:tcPr>
          <w:p>
            <w:pPr>
              <w:spacing w:before="20" w:after="20" w:line="264" w:lineRule="auto"/>
            </w:pPr>
            <w:r>
              <w:rPr>
                <w:rFonts w:ascii="Arial" w:hAnsi="Arial" w:eastAsia="Arial"/>
                <w:b w:val="0"/>
                <w:i w:val="0"/>
                <w:sz w:val="18"/>
              </w:rPr>
              <w:t>Artículo 1.- Formalizar el Acuerdo Nº 001-014-2026/OECE-CD del Consejo Directivo que aprueba la reconformación de las Salas del Tribunal de Contrataciones Públicas, conforme al siguiente detalle: Primera Sala Víctor Manuel Villanueva Sandoval (Presidente) Marisabel Jáuregui Iriarte Jefferson Augusto Bocanegra Diaz Segunda Sala Marlon Luis Arana Orellana (Presidente) Erick Joel Mendoza Merino Daniel Alexis Nazazi Paz Winchez Tercera Sala Steven Anibal Flores Olivera (Presidente) Cesar Alejandro Llanos Torres Héctor Ricardo Morales González Cuarta Sala Christian César Chocano Davis (Presidente) Annie Elizabeth Pérez Gutiérrez Cesar Arturo Sánchez Caminiti Quinta Sala Juan Carlos Cortez Tataje…</w:t>
            </w:r>
          </w:p>
        </w:tc>
      </w:tr>
      <w:tr>
        <w:trPr>
          <w:cantSplit/>
        </w:trPr>
        <w:tc>
          <w:tcPr>
            <w:tcW w:type="dxa" w:w="2041"/>
            <w:shd w:val="clear" w:color="auto" w:fill="F2F5FA"/>
          </w:tcPr>
          <w:p>
            <w:pPr>
              <w:spacing w:before="20" w:after="20" w:line="264" w:lineRule="auto"/>
            </w:pPr>
            <w:r>
              <w:rPr>
                <w:rFonts w:ascii="Arial" w:hAnsi="Arial" w:eastAsia="Arial"/>
                <w:b/>
                <w:i w:val="0"/>
                <w:color w:val="0A2F5C"/>
                <w:sz w:val="17"/>
              </w:rPr>
              <w:t>Enlaces</w:t>
            </w:r>
          </w:p>
        </w:tc>
        <w:tc>
          <w:tcPr>
            <w:tcW w:type="dxa" w:w="7370"/>
          </w:tcPr>
          <w:p>
            <w:pPr>
              <w:spacing w:before="20" w:after="20" w:line="264" w:lineRule="auto"/>
            </w:pPr>
            <w:hyperlink r:id="rId12">
              <w:r>
                <w:rPr>
                  <w:rFonts w:ascii="Arial" w:hAnsi="Arial" w:eastAsia="Arial" w:cs="Arial"/>
                  <w:color w:val="0B5CAD"/>
                  <w:sz w:val="17"/>
                  <w:u w:val="single"/>
                </w:rPr>
                <w:t xml:space="preserve">Texto completo</w:t>
              </w:r>
            </w:hyperlink>
            <w:r>
              <w:rPr>
                <w:rFonts w:ascii="Arial" w:hAnsi="Arial" w:eastAsia="Arial"/>
                <w:b w:val="0"/>
                <w:i w:val="0"/>
                <w:color w:val="5B6880"/>
                <w:sz w:val="17"/>
              </w:rPr>
              <w:t xml:space="preserve">   ·   </w:t>
            </w:r>
            <w:hyperlink r:id="rId15">
              <w:r>
                <w:rPr>
                  <w:rFonts w:ascii="Arial" w:hAnsi="Arial" w:eastAsia="Arial" w:cs="Arial"/>
                  <w:color w:val="0B5CAD"/>
                  <w:sz w:val="17"/>
                  <w:u w:val="single"/>
                </w:rPr>
                <w:t xml:space="preserve">El Peruano</w:t>
              </w:r>
            </w:hyperlink>
            <w:r>
              <w:rPr>
                <w:rFonts w:ascii="Arial" w:hAnsi="Arial" w:eastAsia="Arial"/>
                <w:b w:val="0"/>
                <w:i w:val="0"/>
                <w:color w:val="5B6880"/>
                <w:sz w:val="17"/>
              </w:rPr>
              <w:t xml:space="preserve">   ·   </w:t>
            </w:r>
            <w:hyperlink r:id="rId16">
              <w:r>
                <w:rPr>
                  <w:rFonts w:ascii="Arial" w:hAnsi="Arial" w:eastAsia="Arial" w:cs="Arial"/>
                  <w:color w:val="0B5CAD"/>
                  <w:sz w:val="17"/>
                  <w:u w:val="single"/>
                </w:rPr>
                <w:t xml:space="preserve">PDF</w:t>
              </w:r>
            </w:hyperlink>
          </w:p>
        </w:tc>
      </w:tr>
    </w:tbl>
    <w:p>
      <w:pPr>
        <w:spacing w:before="0" w:after="120" w:line="276" w:lineRule="auto"/>
      </w:pPr>
    </w:p>
    <w:p>
      <w:pPr>
        <w:spacing w:before="200" w:after="0" w:line="276" w:lineRule="auto"/>
        <w:jc w:val="both"/>
        <w:pBdr>
          <w:top w:val="single" w:sz="4" w:space="4" w:color="C9D2DF"/>
        </w:pBdr>
      </w:pPr>
      <w:r>
        <w:rPr>
          <w:rFonts w:ascii="Arial" w:hAnsi="Arial" w:eastAsia="Arial"/>
          <w:b/>
          <w:i w:val="0"/>
          <w:color w:val="5B6880"/>
          <w:sz w:val="15"/>
        </w:rPr>
        <w:t xml:space="preserve">Nota metodológica: </w:t>
      </w:r>
      <w:r>
        <w:rPr>
          <w:rFonts w:ascii="Arial" w:hAnsi="Arial" w:eastAsia="Arial"/>
          <w:b w:val="0"/>
          <w:i w:val="0"/>
          <w:color w:val="5B6880"/>
          <w:sz w:val="15"/>
        </w:rPr>
        <w:t xml:space="preserve">se revisan todas las normas publicadas en el Diario Oficial El Peruano en el periodo. Una norma se selecciona cuando su entidad, título o sumilla contiene alguno de los términos definidos para cada tema, o cuando su texto completo menciona a la ATU. Los criterios pueden consultarse y editarse en el panel: </w:t>
      </w:r>
      <w:hyperlink r:id="rId17">
        <w:r>
          <w:rPr>
            <w:rFonts w:ascii="Arial" w:hAnsi="Arial" w:eastAsia="Arial" w:cs="Arial"/>
            <w:color w:val="0B5CAD"/>
            <w:sz w:val="15"/>
            <w:u w:val="single"/>
          </w:rPr>
          <w:t xml:space="preserve">reneearmasr.github.io/monitor-normas-elperuano</w:t>
        </w:r>
      </w:hyperlink>
    </w:p>
    <w:sectPr w:rsidR="00FC693F" w:rsidRPr="0006063C" w:rsidSect="00034616">
      <w:headerReference w:type="default" r:id="rId9"/>
      <w:footerReference w:type="default" r:id="rId10"/>
      <w:pgSz w:w="11906" w:h="16838"/>
      <w:pgMar w:top="1361"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6" w:space="4" w:color="C9D2DF"/>
      </w:pBdr>
    </w:pPr>
    <w:r>
      <w:rPr>
        <w:rFonts w:ascii="Arial" w:hAnsi="Arial" w:eastAsia="Arial"/>
        <w:b w:val="0"/>
        <w:i w:val="0"/>
        <w:color w:val="5B6880"/>
        <w:sz w:val="15"/>
      </w:rPr>
      <w:t>Fuente: Diario Oficial El Peruano · Elaboración automática</w:t>
    </w:r>
    <w:r>
      <w:rPr>
        <w:rFonts w:ascii="Arial" w:hAnsi="Arial" w:eastAsia="Arial"/>
        <w:b w:val="0"/>
        <w:i w:val="0"/>
        <w:color w:val="5B6880"/>
        <w:sz w:val="15"/>
      </w:rPr>
      <w:tab/>
      <w:t xml:space="preserve">Página </w:t>
    </w:r>
    <w:r>
      <w:rPr>
        <w:rFonts w:ascii="Arial" w:hAnsi="Arial" w:eastAsia="Arial"/>
        <w:b w:val="0"/>
        <w:i w:val="0"/>
        <w:color w:val="5B6880"/>
        <w:sz w:val="15"/>
      </w:rPr>
      <w:fldChar w:fldCharType="begin"/>
      <w:instrText xml:space="preserve"> PAGE </w:instrText>
      <w:fldChar w:fldCharType="separate"/>
      <w:t>1</w:t>
      <w:fldChar w:fldCharType="end"/>
    </w:r>
    <w:r>
      <w:rPr>
        <w:rFonts w:ascii="Arial" w:hAnsi="Arial" w:eastAsia="Arial"/>
        <w:b w:val="0"/>
        <w:i w:val="0"/>
        <w:color w:val="5B6880"/>
        <w:sz w:val="15"/>
      </w:rPr>
      <w:t xml:space="preserve"> de </w:t>
    </w:r>
    <w:r>
      <w:rPr>
        <w:rFonts w:ascii="Arial" w:hAnsi="Arial" w:eastAsia="Arial"/>
        <w:b w:val="0"/>
        <w:i w:val="0"/>
        <w:color w:val="5B6880"/>
        <w:sz w:val="15"/>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8" w:space="4" w:color="0A2F5C"/>
      </w:pBdr>
    </w:pPr>
    <w:r>
      <w:rPr>
        <w:rFonts w:ascii="Arial" w:hAnsi="Arial" w:eastAsia="Arial"/>
        <w:b/>
        <w:i w:val="0"/>
        <w:color w:val="0A2F5C"/>
        <w:sz w:val="15"/>
      </w:rPr>
      <w:t>AUTORIDAD DE TRANSPORTE URBANO PARA LIMA Y CALLAO</w:t>
    </w:r>
    <w:r>
      <w:rPr>
        <w:rFonts w:ascii="Arial" w:hAnsi="Arial" w:eastAsia="Arial"/>
        <w:b w:val="0"/>
        <w:i w:val="0"/>
        <w:color w:val="5B6880"/>
        <w:sz w:val="15"/>
      </w:rPr>
      <w:tab/>
      <w:t>Monitor de Normas Legales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quedas.elperuano.pe/api/visor_html/2561532-1" TargetMode="External"/><Relationship Id="rId12" Type="http://schemas.openxmlformats.org/officeDocument/2006/relationships/hyperlink" Target="https://busquedas.elperuano.pe/api/visor_html/2561895-1" TargetMode="External"/><Relationship Id="rId13" Type="http://schemas.openxmlformats.org/officeDocument/2006/relationships/hyperlink" Target="https://busquedas.elperuano.pe/dispositivo/NL/2561532-1" TargetMode="External"/><Relationship Id="rId14" Type="http://schemas.openxmlformats.org/officeDocument/2006/relationships/hyperlink" Target="https://busquedas.elperuano.pe/dispositivo/NL/2561532-1/pdf" TargetMode="External"/><Relationship Id="rId15" Type="http://schemas.openxmlformats.org/officeDocument/2006/relationships/hyperlink" Target="https://busquedas.elperuano.pe/dispositivo/EX/2561895-1" TargetMode="External"/><Relationship Id="rId16" Type="http://schemas.openxmlformats.org/officeDocument/2006/relationships/hyperlink" Target="https://busquedas.elperuano.pe/dispositivo/EX/2561895-1/pdf" TargetMode="External"/><Relationship Id="rId17" Type="http://schemas.openxmlformats.org/officeDocument/2006/relationships/hyperlink" Target="https://reneearmasr.github.io/monitor-normas-elperua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