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Viernes 16 de octubre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16/10/2026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27/10/2026 11:10</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119</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5</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119 normas publicadas en el periodo, 5 resultan de interés institucional: 3 de normatividad presupuestal y 2 de inversiones.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(3)</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DECRETO SUPREMO N° 217-2026-EF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del Organismo de Focalización e Información Social</w:t>
            </w:r>
          </w:p>
        </w:tc>
        <w:tc>
          <w:tcPr>
            <w:tcW w:type="dxa" w:w="1247"/>
          </w:tcPr>
          <w:p>
            <w:pPr>
              <w:spacing w:before="20" w:after="20" w:line="264" w:lineRule="auto"/>
              <w:jc w:val="center"/>
            </w:pPr>
            <w:r>
              <w:rPr>
                <w:rFonts w:ascii="Arial" w:hAnsi="Arial" w:eastAsia="Arial"/>
                <w:b w:val="0"/>
                <w:i w:val="0"/>
                <w:sz w:val="17"/>
              </w:rPr>
              <w:t>16/10/2026</w:t>
            </w:r>
          </w:p>
          <w:p>
            <w:pPr>
              <w:spacing w:before="0" w:after="0" w:line="240" w:lineRule="auto"/>
              <w:jc w:val="center"/>
            </w:pPr>
            <w:r>
              <w:rPr>
                <w:rFonts w:ascii="Arial" w:hAnsi="Arial" w:eastAsia="Arial"/>
                <w:b w:val="0"/>
                <w:i w:val="0"/>
                <w:color w:val="B42318"/>
                <w:sz w:val="14"/>
              </w:rPr>
              <w:t>Edición extraordinaria</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DECRETO SUPREMO  N° 017-2026-TR</w:t>
              </w:r>
            </w:hyperlink>
          </w:p>
          <w:p>
            <w:pPr>
              <w:spacing w:before="0" w:after="20" w:line="252" w:lineRule="auto"/>
            </w:pPr>
            <w:r>
              <w:rPr>
                <w:rFonts w:ascii="Arial" w:hAnsi="Arial" w:eastAsia="Arial"/>
                <w:b w:val="0"/>
                <w:i w:val="0"/>
                <w:color w:val="5B6880"/>
                <w:sz w:val="15"/>
              </w:rPr>
              <w:t>TRABAJO Y PROMOCIÓN DEL EMPLEO</w:t>
            </w:r>
          </w:p>
        </w:tc>
        <w:tc>
          <w:tcPr>
            <w:tcW w:type="dxa" w:w="4762"/>
          </w:tcPr>
          <w:p>
            <w:pPr>
              <w:spacing w:before="20" w:after="20" w:line="264" w:lineRule="auto"/>
            </w:pPr>
            <w:r>
              <w:rPr>
                <w:rFonts w:ascii="Arial" w:hAnsi="Arial" w:eastAsia="Arial"/>
                <w:b w:val="0"/>
                <w:i w:val="0"/>
                <w:sz w:val="17"/>
              </w:rPr>
              <w:t>Decreto Supremo que autoriza la Transferencia Financiera del Aporte Total del Programa de Empleo Temporal Llamkasun Perú a favor de la Municipalidad Provincial de Antonio Raymondi en virtud del Convenio de Ejecución de Proyecto de Inversión (PIR-08)</w:t>
            </w:r>
          </w:p>
        </w:tc>
        <w:tc>
          <w:tcPr>
            <w:tcW w:type="dxa" w:w="1247"/>
          </w:tcPr>
          <w:p>
            <w:pPr>
              <w:spacing w:before="20" w:after="20" w:line="264" w:lineRule="auto"/>
              <w:jc w:val="center"/>
            </w:pPr>
            <w:r>
              <w:rPr>
                <w:rFonts w:ascii="Arial" w:hAnsi="Arial" w:eastAsia="Arial"/>
                <w:b w:val="0"/>
                <w:i w:val="0"/>
                <w:sz w:val="17"/>
              </w:rPr>
              <w:t>16/10/2026</w:t>
            </w:r>
          </w:p>
        </w:tc>
      </w:tr>
      <w:tr>
        <w:trPr>
          <w:cantSplit/>
        </w:trPr>
        <w:tc>
          <w:tcPr>
            <w:tcW w:type="dxa" w:w="567"/>
          </w:tcPr>
          <w:p>
            <w:pPr>
              <w:spacing w:before="20" w:after="20" w:line="264" w:lineRule="auto"/>
              <w:jc w:val="center"/>
            </w:pPr>
            <w:r>
              <w:rPr>
                <w:rFonts w:ascii="Arial" w:hAnsi="Arial" w:eastAsia="Arial"/>
                <w:b/>
                <w:i w:val="0"/>
                <w:color w:val="0A2F5C"/>
                <w:sz w:val="18"/>
              </w:rPr>
              <w:t>3</w:t>
            </w:r>
          </w:p>
        </w:tc>
        <w:tc>
          <w:tcPr>
            <w:tcW w:type="dxa" w:w="2835"/>
          </w:tcPr>
          <w:p>
            <w:pPr>
              <w:spacing w:before="20" w:after="20" w:line="264" w:lineRule="auto"/>
            </w:pPr>
            <w:hyperlink r:id="rId13">
              <w:r>
                <w:rPr>
                  <w:rFonts w:ascii="Arial" w:hAnsi="Arial" w:eastAsia="Arial" w:cs="Arial"/>
                  <w:b/>
                  <w:color w:val="0B5CAD"/>
                  <w:sz w:val="17"/>
                  <w:u w:val="single"/>
                </w:rPr>
                <w:t xml:space="preserve">DECRETO SUPREMO  N° 018-2026-TR</w:t>
              </w:r>
            </w:hyperlink>
          </w:p>
          <w:p>
            <w:pPr>
              <w:spacing w:before="0" w:after="20" w:line="252" w:lineRule="auto"/>
            </w:pPr>
            <w:r>
              <w:rPr>
                <w:rFonts w:ascii="Arial" w:hAnsi="Arial" w:eastAsia="Arial"/>
                <w:b w:val="0"/>
                <w:i w:val="0"/>
                <w:color w:val="5B6880"/>
                <w:sz w:val="15"/>
              </w:rPr>
              <w:t>TRABAJO Y PROMOCIÓN DEL EMPLEO</w:t>
            </w:r>
          </w:p>
        </w:tc>
        <w:tc>
          <w:tcPr>
            <w:tcW w:type="dxa" w:w="4762"/>
          </w:tcPr>
          <w:p>
            <w:pPr>
              <w:spacing w:before="20" w:after="20" w:line="264" w:lineRule="auto"/>
            </w:pPr>
            <w:r>
              <w:rPr>
                <w:rFonts w:ascii="Arial" w:hAnsi="Arial" w:eastAsia="Arial"/>
                <w:b w:val="0"/>
                <w:i w:val="0"/>
                <w:sz w:val="17"/>
              </w:rPr>
              <w:t>Decreto Supremo que autoriza la Transferencia Financiera del Aporte Total del Programa de Empleo Temporal Llamkasun Perú a favor de la Municipalidad Distrital de Atico en virtud del Convenio de Ejecución de Actividad de Intervención Inmediata (AII-94) en el marco del Decreto Supremo N° 118-2026-PCM</w:t>
            </w:r>
          </w:p>
        </w:tc>
        <w:tc>
          <w:tcPr>
            <w:tcW w:type="dxa" w:w="1247"/>
          </w:tcPr>
          <w:p>
            <w:pPr>
              <w:spacing w:before="20" w:after="20" w:line="264" w:lineRule="auto"/>
              <w:jc w:val="center"/>
            </w:pPr>
            <w:r>
              <w:rPr>
                <w:rFonts w:ascii="Arial" w:hAnsi="Arial" w:eastAsia="Arial"/>
                <w:b w:val="0"/>
                <w:i w:val="0"/>
                <w:sz w:val="17"/>
              </w:rPr>
              <w:t>16/10/2026</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(2)</w:t>
            </w:r>
          </w:p>
        </w:tc>
      </w:tr>
      <w:tr>
        <w:trPr>
          <w:cantSplit/>
        </w:trPr>
        <w:tc>
          <w:tcPr>
            <w:tcW w:type="dxa" w:w="567"/>
          </w:tcPr>
          <w:p>
            <w:pPr>
              <w:spacing w:before="20" w:after="20" w:line="264" w:lineRule="auto"/>
              <w:jc w:val="center"/>
            </w:pPr>
            <w:r>
              <w:rPr>
                <w:rFonts w:ascii="Arial" w:hAnsi="Arial" w:eastAsia="Arial"/>
                <w:b/>
                <w:i w:val="0"/>
                <w:color w:val="0A2F5C"/>
                <w:sz w:val="18"/>
              </w:rPr>
              <w:t>4</w:t>
            </w:r>
          </w:p>
        </w:tc>
        <w:tc>
          <w:tcPr>
            <w:tcW w:type="dxa" w:w="2835"/>
          </w:tcPr>
          <w:p>
            <w:pPr>
              <w:spacing w:before="20" w:after="20" w:line="264" w:lineRule="auto"/>
            </w:pPr>
            <w:hyperlink r:id="rId14">
              <w:r>
                <w:rPr>
                  <w:rFonts w:ascii="Arial" w:hAnsi="Arial" w:eastAsia="Arial" w:cs="Arial"/>
                  <w:b/>
                  <w:color w:val="0B5CAD"/>
                  <w:sz w:val="17"/>
                  <w:u w:val="single"/>
                </w:rPr>
                <w:t xml:space="preserve">RESOLUCIÓN MINISTERIAL  N° 425-2026-MINEM/DM</w:t>
              </w:r>
            </w:hyperlink>
          </w:p>
          <w:p>
            <w:pPr>
              <w:spacing w:before="0" w:after="20" w:line="252" w:lineRule="auto"/>
            </w:pPr>
            <w:r>
              <w:rPr>
                <w:rFonts w:ascii="Arial" w:hAnsi="Arial" w:eastAsia="Arial"/>
                <w:b w:val="0"/>
                <w:i w:val="0"/>
                <w:color w:val="5B6880"/>
                <w:sz w:val="15"/>
              </w:rPr>
              <w:t>ENERGÍA Y MINAS</w:t>
            </w:r>
          </w:p>
        </w:tc>
        <w:tc>
          <w:tcPr>
            <w:tcW w:type="dxa" w:w="4762"/>
          </w:tcPr>
          <w:p>
            <w:pPr>
              <w:spacing w:before="20" w:after="20" w:line="264" w:lineRule="auto"/>
            </w:pPr>
            <w:r>
              <w:rPr>
                <w:rFonts w:ascii="Arial" w:hAnsi="Arial" w:eastAsia="Arial"/>
                <w:b w:val="0"/>
                <w:i w:val="0"/>
                <w:sz w:val="17"/>
              </w:rPr>
              <w:t>Aprueban Segunda Modificación al Contrato de Concesión N° 445-2014 otorgado a favor de Minera Bateas S.A.C. para desarrollar actividad de transmisión de energía eléctrica</w:t>
            </w:r>
          </w:p>
        </w:tc>
        <w:tc>
          <w:tcPr>
            <w:tcW w:type="dxa" w:w="1247"/>
          </w:tcPr>
          <w:p>
            <w:pPr>
              <w:spacing w:before="20" w:after="20" w:line="264" w:lineRule="auto"/>
              <w:jc w:val="center"/>
            </w:pPr>
            <w:r>
              <w:rPr>
                <w:rFonts w:ascii="Arial" w:hAnsi="Arial" w:eastAsia="Arial"/>
                <w:b w:val="0"/>
                <w:i w:val="0"/>
                <w:sz w:val="17"/>
              </w:rPr>
              <w:t>16/10/2026</w:t>
            </w:r>
          </w:p>
        </w:tc>
      </w:tr>
      <w:tr>
        <w:trPr>
          <w:cantSplit/>
        </w:trPr>
        <w:tc>
          <w:tcPr>
            <w:tcW w:type="dxa" w:w="567"/>
          </w:tcPr>
          <w:p>
            <w:pPr>
              <w:spacing w:before="20" w:after="20" w:line="264" w:lineRule="auto"/>
              <w:jc w:val="center"/>
            </w:pPr>
            <w:r>
              <w:rPr>
                <w:rFonts w:ascii="Arial" w:hAnsi="Arial" w:eastAsia="Arial"/>
                <w:b/>
                <w:i w:val="0"/>
                <w:color w:val="0A2F5C"/>
                <w:sz w:val="18"/>
              </w:rPr>
              <w:t>5</w:t>
            </w:r>
          </w:p>
        </w:tc>
        <w:tc>
          <w:tcPr>
            <w:tcW w:type="dxa" w:w="2835"/>
          </w:tcPr>
          <w:p>
            <w:pPr>
              <w:spacing w:before="20" w:after="20" w:line="264" w:lineRule="auto"/>
            </w:pPr>
            <w:hyperlink r:id="rId15">
              <w:r>
                <w:rPr>
                  <w:rFonts w:ascii="Arial" w:hAnsi="Arial" w:eastAsia="Arial" w:cs="Arial"/>
                  <w:b/>
                  <w:color w:val="0B5CAD"/>
                  <w:sz w:val="17"/>
                  <w:u w:val="single"/>
                </w:rPr>
                <w:t xml:space="preserve">RESOLUCIÓN MINISTERIAL N° 926-2026/MINSA</w:t>
              </w:r>
            </w:hyperlink>
          </w:p>
          <w:p>
            <w:pPr>
              <w:spacing w:before="0" w:after="20" w:line="252" w:lineRule="auto"/>
            </w:pPr>
            <w:r>
              <w:rPr>
                <w:rFonts w:ascii="Arial" w:hAnsi="Arial" w:eastAsia="Arial"/>
                <w:b w:val="0"/>
                <w:i w:val="0"/>
                <w:color w:val="5B6880"/>
                <w:sz w:val="15"/>
              </w:rPr>
              <w:t>SALUD</w:t>
            </w:r>
          </w:p>
        </w:tc>
        <w:tc>
          <w:tcPr>
            <w:tcW w:type="dxa" w:w="4762"/>
          </w:tcPr>
          <w:p>
            <w:pPr>
              <w:spacing w:before="20" w:after="20" w:line="264" w:lineRule="auto"/>
            </w:pPr>
            <w:r>
              <w:rPr>
                <w:rFonts w:ascii="Arial" w:hAnsi="Arial" w:eastAsia="Arial"/>
                <w:b w:val="0"/>
                <w:i w:val="0"/>
                <w:sz w:val="17"/>
              </w:rPr>
              <w:t>Modifican la Relación de Servicios que pueden ejecutarse mediante el mecanismo de Obras por Impuestos en el marco del Decreto de Urgencia N° 010-2026</w:t>
            </w:r>
          </w:p>
        </w:tc>
        <w:tc>
          <w:tcPr>
            <w:tcW w:type="dxa" w:w="1247"/>
          </w:tcPr>
          <w:p>
            <w:pPr>
              <w:spacing w:before="20" w:after="20" w:line="264" w:lineRule="auto"/>
              <w:jc w:val="center"/>
            </w:pPr>
            <w:r>
              <w:rPr>
                <w:rFonts w:ascii="Arial" w:hAnsi="Arial" w:eastAsia="Arial"/>
                <w:b w:val="0"/>
                <w:i w:val="0"/>
                <w:sz w:val="17"/>
              </w:rPr>
              <w:t>16/10/2026</w:t>
            </w:r>
          </w:p>
          <w:p>
            <w:pPr>
              <w:spacing w:before="0" w:after="0" w:line="240" w:lineRule="auto"/>
              <w:jc w:val="center"/>
            </w:pPr>
            <w:r>
              <w:rPr>
                <w:rFonts w:ascii="Arial" w:hAnsi="Arial" w:eastAsia="Arial"/>
                <w:b w:val="0"/>
                <w:i w:val="0"/>
                <w:color w:val="B42318"/>
                <w:sz w:val="14"/>
              </w:rPr>
              <w:t>Edición extraordinaria</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  DECRETO SUPREMO N° 217-2026-EF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16/10/2026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del Organismo de Focalización e Información Social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Se autoriza una Transferencia de Partidas en el Presupuesto del Sector Público para el Año Fiscal 2026, hasta por la suma de S/ 1 290 578,00 (UN MILLÓN DOSCIENTOS NOVENTA MIL QUINIENTOS SETENTA Y OCHO Y 00/100 SOLES), por la fuente de financiamiento Recursos Ordinarios, a favor del Organismo de Focalización e Información Social, para financiar acciones de fortalecimiento institucional, en su calidad de ente conductor del Sistema Nacional de Focalización, orientadas a optimizar la gestión, interoperabilidad e integración de la información social, contribuyendo al cumplimiento de los Objetivos Prioritarios de la Política Nacional de Desarrollo e Inclusión Social al 2030,…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1 290 578,00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6">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7">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DECRETO SUPREMO  N° 017-2026-TR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TRABAJO Y PROMOCIÓN DEL EMPLEO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16/10/2026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 · 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la Transferencia Financiera del Aporte Total del Programa de Empleo Temporal Llamkasun Perú a favor de la Municipalidad Provincial de Antonio Raymondi en virtud del Convenio de Ejecución de Proyecto de Inversión (PIR-08)</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Se autoriza la transferencia financiera del Programa de Empleo Temporal “Llamkasun Perú” a favor de la Municipalidad Provincial de Antonio Raymondi, con la cual se ha suscrito un (1) convenio con el objeto de financiar la ejecución de un (1) proyecto de inversión (PIR-08), que forma parte del ámbito de la focalización geográfica aplicable al Programa - 2026-II, por el importe total de S/ 890 700,00 (Ochocientos Noventa Mil Setecientos y 00/100 Soles), conforme al Anexo que forma parte integrante del presente Decreto Supremo. Artículo 2.- Financiamiento La transferencia financiera autorizada en el artículo 1 del presente Decreto Supremo se atiende con cargo al presupuesto…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890 700,00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9">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3.  DECRETO SUPREMO  N° 018-2026-TR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TRABAJO Y PROMOCIÓN DEL EMPLEO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16/10/2026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la Transferencia Financiera del Aporte Total del Programa de Empleo Temporal Llamkasun Perú a favor de la Municipalidad Distrital de Atico en virtud del Convenio de Ejecución de Actividad de Intervención Inmediata (AII-94) en el marco del Decreto Supremo N° 118-2026-PCM</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Se autoriza la transferencia financiera del Programa de Empleo Temporal “Llamkasun Perú” a favor de la Municipalidad Distrital de Atico, con la cual se ha suscrito un (1) convenio con el objeto de financiar la ejecución de una (1) Actividad de Intervención Inmediata (AII-94), en el marco del Decreto Supremo N° 118-2026-PCM, Decreto Supremo que declara el Estado de Emergencia en el distrito de Atico de la provincia de Caravelí del departamento de Arequipa, en el distrito de Ilo de la provincia de Ilo del departamento de Moquegua y en el distrito de Cairani de la provincia de Candarave del departamento de Tacna, por impacto de daños a consecuencia de intensas…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218 145,00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0">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1">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4.  RESOLUCIÓN MINISTERIAL  N° 425-2026-MINEM/DM</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ENERGÍA Y MINAS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16/10/2026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Segunda Modificación al Contrato de Concesión N° 445-2014 otorgado a favor de Minera Bateas S.A.C. para desarrollar actividad de transmisión de energía eléctrica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4">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3">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5.  RESOLUCIÓN MINISTERIAL N° 926-2026/MINSA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SALUD</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16/10/2026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Modifican la Relación de Servicios que pueden ejecutarse mediante el mecanismo de Obras por Impuestos en el marco del Decreto de Urgencia N° 010-2026</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Incorporar ocho (8) servicios a la “Relación de Servicios que pueden ejecutarse mediante el mecanismo de Obras por Impuestos, en el marco de lo dispuesto en el numeral 4.2 del artículo 4 y la Quinta Disposición Complementaria Final del Decreto de Urgencia Nº 010-2026”, aprobada por Resolución Ministerial Nº 808-2026/MINSA, que como Anexo I forma parte integrante de la presente Resolución Ministerial. Artículo 2.- Modificar los servicios identificados con los códigos FT FEN Sxl-2026-017-SA, FT FEN Sxl-2026-018-SA y FT FEN Sxl-2026-019-SA de la “Relación de Servicios que pueden ejecutarse mediante el mecanismo de Obras por Impuestos, en el marco de lo dispuesto en el numeral 4.2…</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5">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4">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5">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26">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65747-1" TargetMode="External"/><Relationship Id="rId12" Type="http://schemas.openxmlformats.org/officeDocument/2006/relationships/hyperlink" Target="https://busquedas.elperuano.pe/api/visor_html/2565250-1" TargetMode="External"/><Relationship Id="rId13" Type="http://schemas.openxmlformats.org/officeDocument/2006/relationships/hyperlink" Target="https://busquedas.elperuano.pe/api/visor_html/2565250-2" TargetMode="External"/><Relationship Id="rId14" Type="http://schemas.openxmlformats.org/officeDocument/2006/relationships/hyperlink" Target="https://busquedas.elperuano.pe/api/visor_html/2561656-1" TargetMode="External"/><Relationship Id="rId15" Type="http://schemas.openxmlformats.org/officeDocument/2006/relationships/hyperlink" Target="https://busquedas.elperuano.pe/api/visor_html/2565439-1" TargetMode="External"/><Relationship Id="rId16" Type="http://schemas.openxmlformats.org/officeDocument/2006/relationships/hyperlink" Target="https://busquedas.elperuano.pe/dispositivo/EX/2565747-1" TargetMode="External"/><Relationship Id="rId17" Type="http://schemas.openxmlformats.org/officeDocument/2006/relationships/hyperlink" Target="https://busquedas.elperuano.pe/dispositivo/EX/2565747-1/pdf" TargetMode="External"/><Relationship Id="rId18" Type="http://schemas.openxmlformats.org/officeDocument/2006/relationships/hyperlink" Target="https://busquedas.elperuano.pe/dispositivo/NL/2565250-1" TargetMode="External"/><Relationship Id="rId19" Type="http://schemas.openxmlformats.org/officeDocument/2006/relationships/hyperlink" Target="https://busquedas.elperuano.pe/dispositivo/NL/2565250-1/pdf" TargetMode="External"/><Relationship Id="rId20" Type="http://schemas.openxmlformats.org/officeDocument/2006/relationships/hyperlink" Target="https://busquedas.elperuano.pe/dispositivo/NL/2565250-2" TargetMode="External"/><Relationship Id="rId21" Type="http://schemas.openxmlformats.org/officeDocument/2006/relationships/hyperlink" Target="https://busquedas.elperuano.pe/dispositivo/NL/2565250-2/pdf" TargetMode="External"/><Relationship Id="rId22" Type="http://schemas.openxmlformats.org/officeDocument/2006/relationships/hyperlink" Target="https://busquedas.elperuano.pe/dispositivo/NL/2561656-1" TargetMode="External"/><Relationship Id="rId23" Type="http://schemas.openxmlformats.org/officeDocument/2006/relationships/hyperlink" Target="https://busquedas.elperuano.pe/dispositivo/NL/2561656-1/pdf" TargetMode="External"/><Relationship Id="rId24" Type="http://schemas.openxmlformats.org/officeDocument/2006/relationships/hyperlink" Target="https://busquedas.elperuano.pe/dispositivo/EX/2565439-1" TargetMode="External"/><Relationship Id="rId25" Type="http://schemas.openxmlformats.org/officeDocument/2006/relationships/hyperlink" Target="https://busquedas.elperuano.pe/dispositivo/EX/2565439-1/pdf" TargetMode="External"/><Relationship Id="rId26"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