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Sábado 17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17/10/2026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11:11</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84</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4</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84 normas publicadas en el periodo, 4 resultan de interés institucional: 2 sobre la ATU y el transporte urbano y 2 de inversiones. El Cuadro 1 presenta la relación completa y la sección 2, el detalle de cada norma.</w:t>
      </w:r>
    </w:p>
    <w:tbl>
      <w:tblPr>
        <w:tblW w:type="auto" w:w="0"/>
        <w:tblLook w:firstColumn="1" w:firstRow="1" w:lastColumn="0" w:lastRow="0" w:noHBand="0" w:noVBand="1" w:val="04A0"/>
        <w:tblBorders>
          <w:top w:val="single" w:sz="4" w:space="0" w:color="F4C7C3"/>
          <w:left w:val="single" w:sz="4" w:space="0" w:color="F4C7C3"/>
          <w:bottom w:val="single" w:sz="4" w:space="0" w:color="F4C7C3"/>
          <w:right w:val="single" w:sz="4" w:space="0" w:color="F4C7C3"/>
        </w:tblBorders>
        <w:tblLayout w:type="fixed"/>
        <w:tblCellMar>
          <w:top w:w="50" w:type="dxa"/>
          <w:bottom w:w="50" w:type="dxa"/>
          <w:left w:w="100" w:type="dxa"/>
          <w:right w:w="100" w:type="dxa"/>
        </w:tblCellMar>
      </w:tblPr>
      <w:tblGrid>
        <w:gridCol w:w="9412"/>
      </w:tblGrid>
      <w:tr>
        <w:tc>
          <w:tcPr>
            <w:tcW w:type="dxa" w:w="9411"/>
            <w:shd w:val="clear" w:color="auto" w:fill="FDF3F2"/>
            <w:tcBorders>
              <w:left w:val="single" w:sz="24" w:space="0" w:color="B42318"/>
            </w:tcBorders>
          </w:tcPr>
          <w:p>
            <w:pPr>
              <w:spacing w:before="20" w:after="20" w:line="264" w:lineRule="auto"/>
            </w:pPr>
            <w:r>
              <w:rPr>
                <w:rFonts w:ascii="Arial" w:hAnsi="Arial" w:eastAsia="Arial"/>
                <w:b/>
                <w:i w:val="0"/>
                <w:color w:val="B42318"/>
                <w:sz w:val="18"/>
              </w:rPr>
              <w:t>ATENCIÓN: 2 normas involucran directamente a la ATU</w:t>
            </w:r>
          </w:p>
          <w:p>
            <w:pPr>
              <w:spacing w:before="0" w:after="20" w:line="264" w:lineRule="auto"/>
            </w:pPr>
            <w:r>
              <w:rPr>
                <w:rFonts w:ascii="Arial" w:hAnsi="Arial" w:eastAsia="Arial"/>
                <w:b w:val="0"/>
                <w:i w:val="0"/>
                <w:color w:val="B42318"/>
                <w:sz w:val="18"/>
              </w:rPr>
              <w:t xml:space="preserve">▪ </w:t>
            </w:r>
            <w:r>
              <w:rPr>
                <w:rFonts w:ascii="Arial" w:hAnsi="Arial" w:eastAsia="Arial"/>
                <w:b/>
                <w:i w:val="0"/>
                <w:sz w:val="18"/>
              </w:rPr>
              <w:t>RESOLUCIÓN  N° 235-2026-ATU/PE</w:t>
            </w:r>
            <w:r>
              <w:rPr>
                <w:rFonts w:ascii="Arial" w:hAnsi="Arial" w:eastAsia="Arial"/>
                <w:b w:val="0"/>
                <w:i w:val="0"/>
                <w:sz w:val="18"/>
              </w:rPr>
              <w:t xml:space="preserve"> (Autoridad de Transporte Urbano para Lima y Callao): Designan Asesor de Supervisión de Proyectos</w:t>
            </w:r>
          </w:p>
          <w:p>
            <w:pPr>
              <w:spacing w:before="0" w:after="20" w:line="264" w:lineRule="auto"/>
            </w:pPr>
            <w:r>
              <w:rPr>
                <w:rFonts w:ascii="Arial" w:hAnsi="Arial" w:eastAsia="Arial"/>
                <w:b w:val="0"/>
                <w:i w:val="0"/>
                <w:color w:val="B42318"/>
                <w:sz w:val="18"/>
              </w:rPr>
              <w:t xml:space="preserve">▪ </w:t>
            </w:r>
            <w:r>
              <w:rPr>
                <w:rFonts w:ascii="Arial" w:hAnsi="Arial" w:eastAsia="Arial"/>
                <w:b/>
                <w:i w:val="0"/>
                <w:sz w:val="18"/>
              </w:rPr>
              <w:t>RESOLUCIÓN  N° 236-2026-ATU/PE</w:t>
            </w:r>
            <w:r>
              <w:rPr>
                <w:rFonts w:ascii="Arial" w:hAnsi="Arial" w:eastAsia="Arial"/>
                <w:b w:val="0"/>
                <w:i w:val="0"/>
                <w:sz w:val="18"/>
              </w:rPr>
              <w:t xml:space="preserve"> (Autoridad de Transporte Urbano para Lima y Callao): Designan Ejecutivo de la Subdirección de Servicios de Transporte Regular de la Dirección de Operaciones</w:t>
            </w:r>
          </w:p>
        </w:tc>
      </w:tr>
    </w:tbl>
    <w:p>
      <w:pPr>
        <w:spacing w:before="0" w:after="80" w:line="276" w:lineRule="auto"/>
      </w:pP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2A78D6"/>
            </w:tcBorders>
          </w:tcPr>
          <w:p>
            <w:pPr>
              <w:spacing w:before="20" w:after="20" w:line="264" w:lineRule="auto"/>
            </w:pPr>
            <w:r>
              <w:rPr>
                <w:rFonts w:ascii="Arial" w:hAnsi="Arial" w:eastAsia="Arial"/>
                <w:b/>
                <w:i w:val="0"/>
                <w:color w:val="0A2F5C"/>
                <w:sz w:val="17"/>
              </w:rPr>
              <w:t>ATU Y TRANSPORTE URBANO  (2)</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235-2026-ATU/PE</w:t>
              </w:r>
            </w:hyperlink>
          </w:p>
          <w:p>
            <w:pPr>
              <w:spacing w:before="0" w:after="20" w:line="252" w:lineRule="auto"/>
            </w:pPr>
            <w:r>
              <w:rPr>
                <w:rFonts w:ascii="Arial" w:hAnsi="Arial" w:eastAsia="Arial"/>
                <w:b w:val="0"/>
                <w:i w:val="0"/>
                <w:color w:val="5B6880"/>
                <w:sz w:val="15"/>
              </w:rPr>
              <w:t>AUTORIDAD DE TRANSPORTE URBANO PARA LIMA Y CALLAO</w:t>
            </w:r>
          </w:p>
        </w:tc>
        <w:tc>
          <w:tcPr>
            <w:tcW w:type="dxa" w:w="4762"/>
          </w:tcPr>
          <w:p>
            <w:pPr>
              <w:spacing w:before="20" w:after="20" w:line="264" w:lineRule="auto"/>
            </w:pPr>
            <w:r>
              <w:rPr>
                <w:rFonts w:ascii="Arial" w:hAnsi="Arial" w:eastAsia="Arial"/>
                <w:b w:val="0"/>
                <w:i w:val="0"/>
                <w:sz w:val="17"/>
              </w:rPr>
              <w:t>Designan Asesor de Supervisión de Proyectos</w:t>
            </w:r>
          </w:p>
        </w:tc>
        <w:tc>
          <w:tcPr>
            <w:tcW w:type="dxa" w:w="1247"/>
          </w:tcPr>
          <w:p>
            <w:pPr>
              <w:spacing w:before="20" w:after="20" w:line="264" w:lineRule="auto"/>
              <w:jc w:val="center"/>
            </w:pPr>
            <w:r>
              <w:rPr>
                <w:rFonts w:ascii="Arial" w:hAnsi="Arial" w:eastAsia="Arial"/>
                <w:b w:val="0"/>
                <w:i w:val="0"/>
                <w:sz w:val="17"/>
              </w:rPr>
              <w:t>17/10/2026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N° 236-2026-ATU/PE</w:t>
              </w:r>
            </w:hyperlink>
          </w:p>
          <w:p>
            <w:pPr>
              <w:spacing w:before="0" w:after="20" w:line="252" w:lineRule="auto"/>
            </w:pPr>
            <w:r>
              <w:rPr>
                <w:rFonts w:ascii="Arial" w:hAnsi="Arial" w:eastAsia="Arial"/>
                <w:b w:val="0"/>
                <w:i w:val="0"/>
                <w:color w:val="5B6880"/>
                <w:sz w:val="15"/>
              </w:rPr>
              <w:t>AUTORIDAD DE TRANSPORTE URBANO PARA LIMA Y CALLAO</w:t>
            </w:r>
          </w:p>
        </w:tc>
        <w:tc>
          <w:tcPr>
            <w:tcW w:type="dxa" w:w="4762"/>
          </w:tcPr>
          <w:p>
            <w:pPr>
              <w:spacing w:before="20" w:after="20" w:line="264" w:lineRule="auto"/>
            </w:pPr>
            <w:r>
              <w:rPr>
                <w:rFonts w:ascii="Arial" w:hAnsi="Arial" w:eastAsia="Arial"/>
                <w:b w:val="0"/>
                <w:i w:val="0"/>
                <w:sz w:val="17"/>
              </w:rPr>
              <w:t>Designan Ejecutivo de la Subdirección de Servicios de Transporte Regular de la Dirección de Operaciones</w:t>
            </w:r>
          </w:p>
        </w:tc>
        <w:tc>
          <w:tcPr>
            <w:tcW w:type="dxa" w:w="1247"/>
          </w:tcPr>
          <w:p>
            <w:pPr>
              <w:spacing w:before="20" w:after="20" w:line="264" w:lineRule="auto"/>
              <w:jc w:val="center"/>
            </w:pPr>
            <w:r>
              <w:rPr>
                <w:rFonts w:ascii="Arial" w:hAnsi="Arial" w:eastAsia="Arial"/>
                <w:b w:val="0"/>
                <w:i w:val="0"/>
                <w:sz w:val="17"/>
              </w:rPr>
              <w:t>17/10/2026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(2)</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MINISTERIAL  N° 371-2026-MINCETUR</w:t>
              </w:r>
            </w:hyperlink>
          </w:p>
          <w:p>
            <w:pPr>
              <w:spacing w:before="0" w:after="20" w:line="252" w:lineRule="auto"/>
            </w:pPr>
            <w:r>
              <w:rPr>
                <w:rFonts w:ascii="Arial" w:hAnsi="Arial" w:eastAsia="Arial"/>
                <w:b w:val="0"/>
                <w:i w:val="0"/>
                <w:color w:val="5B6880"/>
                <w:sz w:val="15"/>
              </w:rPr>
              <w:t>COMERCIO EXTERIOR Y TURISMO</w:t>
            </w:r>
          </w:p>
        </w:tc>
        <w:tc>
          <w:tcPr>
            <w:tcW w:type="dxa" w:w="4762"/>
          </w:tcPr>
          <w:p>
            <w:pPr>
              <w:spacing w:before="20" w:after="20" w:line="264" w:lineRule="auto"/>
            </w:pPr>
            <w:r>
              <w:rPr>
                <w:rFonts w:ascii="Arial" w:hAnsi="Arial" w:eastAsia="Arial"/>
                <w:b w:val="0"/>
                <w:i w:val="0"/>
                <w:sz w:val="17"/>
              </w:rPr>
              <w:t>Modifican la R.M. N° 378-2025-MINCETUR sobre delegación de facultades a funcionarios en materia de contrataciones no sujetas a la Ley General de Contrataciones Públicas</w:t>
            </w:r>
          </w:p>
        </w:tc>
        <w:tc>
          <w:tcPr>
            <w:tcW w:type="dxa" w:w="1247"/>
          </w:tcPr>
          <w:p>
            <w:pPr>
              <w:spacing w:before="20" w:after="20" w:line="264" w:lineRule="auto"/>
              <w:jc w:val="center"/>
            </w:pPr>
            <w:r>
              <w:rPr>
                <w:rFonts w:ascii="Arial" w:hAnsi="Arial" w:eastAsia="Arial"/>
                <w:b w:val="0"/>
                <w:i w:val="0"/>
                <w:sz w:val="17"/>
              </w:rPr>
              <w:t>17/10/2026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DIRECTORAL  N° 0007-2026-EF/63.01</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Modifican el Anexo Nº 05: Lineamientos para las modificaciones de la Cartera de Inversiones del PMI de la Directiva General del Sistema Nacional de Programación Multianual y Gestión de Inversiones</w:t>
            </w:r>
          </w:p>
        </w:tc>
        <w:tc>
          <w:tcPr>
            <w:tcW w:type="dxa" w:w="1247"/>
          </w:tcPr>
          <w:p>
            <w:pPr>
              <w:spacing w:before="20" w:after="20" w:line="264" w:lineRule="auto"/>
              <w:jc w:val="center"/>
            </w:pPr>
            <w:r>
              <w:rPr>
                <w:rFonts w:ascii="Arial" w:hAnsi="Arial" w:eastAsia="Arial"/>
                <w:b w:val="0"/>
                <w:i w:val="0"/>
                <w:sz w:val="17"/>
              </w:rPr>
              <w:t>17/10/2026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ATU y transporte urbano</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2A78D6"/>
            </w:tcBorders>
          </w:tcPr>
          <w:p>
            <w:pPr>
              <w:spacing w:before="20" w:after="20" w:line="264" w:lineRule="auto"/>
            </w:pPr>
            <w:r>
              <w:rPr>
                <w:rFonts w:ascii="Arial" w:hAnsi="Arial" w:eastAsia="Arial"/>
                <w:b/>
                <w:i w:val="0"/>
                <w:color w:val="0A2F5C"/>
                <w:sz w:val="19"/>
              </w:rPr>
              <w:t>1.  RESOLUCIÓN  N° 235-2026-ATU/PE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AUTORIDAD DE TRANSPORTE URBANO PARA LIMA Y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17/10/2026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ATU y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Designan Asesor de Supervisión de Proyectos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 Designar, a partir del día 17 de octubre de 2026, al señor CÉSAR AUGUSTO MILLONES ANACLETO en el puesto de Asesor de Supervisión de Proyectos con Código AIRHSP N° 004840 de la Autoridad de Transporte Urbano para Lima y Callao - ATU. Artículo 2 .- Notificar la presente resolución al señor CÉSAR AUGUSTO MILLONES ANACLETO y a la Oficina de Gestión de Recursos Humanos, para los fines pertinentes. Artículo 3 .- Disponer la publicación de la presente resolución en el Diario Oficial “El Peruano” y en la sede digital de la Autoridad de Transporte Urbano para Lima y Callao - ATU ( https://www.gob.pe/atu ). Regístrese, comuníquese y publíquese. DAVID AUGUSTO HERNÁNDEZ SALAZAR Presidente…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2A78D6"/>
            </w:tcBorders>
          </w:tcPr>
          <w:p>
            <w:pPr>
              <w:spacing w:before="20" w:after="20" w:line="264" w:lineRule="auto"/>
            </w:pPr>
            <w:r>
              <w:rPr>
                <w:rFonts w:ascii="Arial" w:hAnsi="Arial" w:eastAsia="Arial"/>
                <w:b/>
                <w:i w:val="0"/>
                <w:color w:val="0A2F5C"/>
                <w:sz w:val="19"/>
              </w:rPr>
              <w:t>2.  RESOLUCIÓN  N° 236-2026-ATU/PE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AUTORIDAD DE TRANSPORTE URBANO PARA LIMA Y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17/10/2026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ATU y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Designan Ejecutivo de la Subdirección de Servicios de Transporte Regular de la Dirección de Operaciones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 Designar, a partir del día 17 de octubre de 2026, al señor CARLOS FELIPE RODRÍGUEZ OYARCE en el puesto de Ejecutivo de la Subdirección de Servicios de Transporte Regular de la Dirección de Operaciones con Código AIRHSP Nº 002854 de la Autoridad de Transporte Urbano para Lima y Callao - ATU. Artículo 2 .- Notificar la presente resolución al señor CARLOS FELIPE RODRÍGUEZ OYARCE y a la Oficina de Gestión de Recursos Humanos, para los fines pertinentes. Artículo 3 .- Disponer la publicación de la presente resolución en el Diario Oficial “El Peruano” y en la sede digital de la Autoridad de Transporte Urbano para Lima y Callao - ATU ( https://www.gob.pe/atu ). Regístrese,…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3.  RESOLUCIÓN MINISTERIAL  N° 371-2026-MINCETUR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COMERCIO EXTERIOR Y TURISMO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17/10/2026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la R.M. N° 378-2025-MINCETUR sobre delegación de facultades a funcionarios en materia de contrataciones no sujetas a la Ley General de Contrataciones Públicas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Modificar el numeral 4.2 del artículo 4 de la Resolución Ministerial N° 378-2025-MINCETUR, conforme al siguiente texto: “Artículo 4.- Delegar en el Jefe de la Oficina General de Administración del Ministerio de Comercio Exterior y Turismo - MINCETUR, durante el Ejercicio Fiscal 2026, las siguientes facultades y atribuciones en la Unidad Ejecutora 001: Ministerio de Comercio Exterior y Turismo - Dirección General de Administración del Pliego 035: Ministerio de Comercio Exterior y Turismo. “(…) 4.2. En materia de contrataciones que no se encuentran sujetas a la LGCP a) Suscribir los contratos derivados del literal n) del numeral 7.1 del artículo 7 de la LGCP. b) Formalizar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4.  RESOLUCIÓN DIRECTORAL  N° 0007-2026-EF/63.01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17/10/2026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el Anexo Nº 05: Lineamientos para las modificaciones de la Cartera de Inversiones del PMI de la Directiva General del Sistema Nacional de Programación Multianual y Gestión de 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Modificación Modificar el Anexo N° 05: “Lineamientos para las modificaciones de la Cartera de Inversiones del PMI”, de la Directiva N° 001-2019-EF/63.01, Directiva General del Sistema Nacional de Programación Multianual y Gestión de Inversiones, aprobada mediante la Resolución Directoral N° 001-2019-EF/63.01, que, como Anexo, forma parte integrante de la presente Resolución Directoral. Artículo 2.- Publicación Disponer la publicación de la presente Resolución Directoral y del Anexo N° 05: “Lineamientos para las modificaciones de la Cartera de Inversiones del PMI”, de la Directiva N° 001-2019-EF/63.01, en la sede digital del Ministerio de Economía y Finanzas (www.gob.pe/mef), en…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3">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5586-1" TargetMode="External"/><Relationship Id="rId12" Type="http://schemas.openxmlformats.org/officeDocument/2006/relationships/hyperlink" Target="https://busquedas.elperuano.pe/api/visor_html/2565679-1" TargetMode="External"/><Relationship Id="rId13" Type="http://schemas.openxmlformats.org/officeDocument/2006/relationships/hyperlink" Target="https://busquedas.elperuano.pe/api/visor_html/2565507-1" TargetMode="External"/><Relationship Id="rId14" Type="http://schemas.openxmlformats.org/officeDocument/2006/relationships/hyperlink" Target="https://busquedas.elperuano.pe/api/visor_html/2565569-1" TargetMode="External"/><Relationship Id="rId15" Type="http://schemas.openxmlformats.org/officeDocument/2006/relationships/hyperlink" Target="https://busquedas.elperuano.pe/dispositivo/NL/2565586-1" TargetMode="External"/><Relationship Id="rId16" Type="http://schemas.openxmlformats.org/officeDocument/2006/relationships/hyperlink" Target="https://busquedas.elperuano.pe/dispositivo/NL/2565586-1/pdf" TargetMode="External"/><Relationship Id="rId17" Type="http://schemas.openxmlformats.org/officeDocument/2006/relationships/hyperlink" Target="https://busquedas.elperuano.pe/dispositivo/NL/2565679-1" TargetMode="External"/><Relationship Id="rId18" Type="http://schemas.openxmlformats.org/officeDocument/2006/relationships/hyperlink" Target="https://busquedas.elperuano.pe/dispositivo/NL/2565679-1/pdf" TargetMode="External"/><Relationship Id="rId19" Type="http://schemas.openxmlformats.org/officeDocument/2006/relationships/hyperlink" Target="https://busquedas.elperuano.pe/dispositivo/NL/2565507-1" TargetMode="External"/><Relationship Id="rId20" Type="http://schemas.openxmlformats.org/officeDocument/2006/relationships/hyperlink" Target="https://busquedas.elperuano.pe/dispositivo/NL/2565507-1/pdf" TargetMode="External"/><Relationship Id="rId21" Type="http://schemas.openxmlformats.org/officeDocument/2006/relationships/hyperlink" Target="https://busquedas.elperuano.pe/dispositivo/NL/2565569-1" TargetMode="External"/><Relationship Id="rId22" Type="http://schemas.openxmlformats.org/officeDocument/2006/relationships/hyperlink" Target="https://busquedas.elperuano.pe/dispositivo/NL/2565569-1/pdf" TargetMode="External"/><Relationship Id="rId23"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