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Arial" w:hAnsi="Arial" w:eastAsia="Arial"/>
          <w:b/>
          <w:i w:val="0"/>
          <w:color w:val="0A2F5C"/>
          <w:sz w:val="36"/>
        </w:rPr>
        <w:t>RESUMEN DE NORMAS LEGALES</w:t>
      </w:r>
    </w:p>
    <w:p>
      <w:pPr>
        <w:spacing w:before="0" w:after="40" w:line="276" w:lineRule="auto"/>
        <w:jc w:val="center"/>
      </w:pPr>
      <w:r>
        <w:rPr>
          <w:rFonts w:ascii="Arial" w:hAnsi="Arial" w:eastAsia="Arial"/>
          <w:b w:val="0"/>
          <w:i w:val="0"/>
          <w:color w:val="5B6880"/>
          <w:sz w:val="21"/>
        </w:rPr>
        <w:t>Diario Oficial El Peruano · Martes 20 de octubre de 2026</w:t>
      </w:r>
    </w:p>
    <w:p>
      <w:pPr>
        <w:spacing w:before="0" w:after="200" w:line="276" w:lineRule="auto"/>
        <w:pBdr>
          <w:bottom w:val="single" w:sz="18" w:space="1" w:color="0A2F5C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Periodo revisado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20/10/2026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Fecha de elaboración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27/10/2026 11:11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Normas publicadas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56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Normas de interés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9"/>
              </w:rPr>
              <w:t>1</w:t>
            </w:r>
          </w:p>
        </w:tc>
      </w:tr>
    </w:tbl>
    <w:p>
      <w:pPr>
        <w:spacing w:before="280" w:after="120" w:line="276" w:lineRule="auto"/>
        <w:keepNext/>
        <w:pBdr>
          <w:bottom w:val="single" w:sz="6" w:space="2" w:color="C9D2DF"/>
        </w:pBdr>
      </w:pPr>
      <w:r>
        <w:rPr>
          <w:rFonts w:ascii="Arial" w:hAnsi="Arial" w:eastAsia="Arial"/>
          <w:b/>
          <w:i w:val="0"/>
          <w:color w:val="0A2F5C"/>
          <w:sz w:val="22"/>
        </w:rPr>
        <w:t>1. RESUMEN EJECUTIVO</w:t>
      </w:r>
    </w:p>
    <w:p>
      <w:pPr>
        <w:spacing w:before="0" w:after="160" w:line="276" w:lineRule="auto"/>
        <w:jc w:val="both"/>
      </w:pPr>
      <w:r>
        <w:rPr>
          <w:rFonts w:ascii="Arial" w:hAnsi="Arial" w:eastAsia="Arial"/>
          <w:b w:val="0"/>
          <w:i w:val="0"/>
          <w:sz w:val="20"/>
        </w:rPr>
        <w:t>De las 56 normas publicadas en el periodo, 1 resulta de interés institucional: 1 de normatividad presupuestal. No se identificaron normas que involucren a la ATU. El Cuadro 1 presenta la relación completa y la sección 2, el detalle de cada norma.</w:t>
      </w:r>
    </w:p>
    <w:p>
      <w:pPr>
        <w:keepNext/>
        <w:spacing w:before="80" w:after="60" w:line="276" w:lineRule="auto"/>
      </w:pPr>
      <w:r>
        <w:rPr>
          <w:rFonts w:ascii="Arial" w:hAnsi="Arial" w:eastAsia="Arial"/>
          <w:b/>
          <w:i w:val="0"/>
          <w:color w:val="0A2F5C"/>
          <w:sz w:val="18"/>
        </w:rPr>
        <w:t>Cuadro 1. Normas de interés identificadas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567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N.°</w:t>
            </w:r>
          </w:p>
        </w:tc>
        <w:tc>
          <w:tcPr>
            <w:tcW w:type="dxa" w:w="2835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Norma y entidad emisora</w:t>
            </w:r>
          </w:p>
        </w:tc>
        <w:tc>
          <w:tcPr>
            <w:tcW w:type="dxa" w:w="4762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Sumilla</w:t>
            </w:r>
          </w:p>
        </w:tc>
        <w:tc>
          <w:tcPr>
            <w:tcW w:type="dxa" w:w="1247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Publicación</w:t>
            </w:r>
          </w:p>
        </w:tc>
      </w:tr>
      <w:tr>
        <w:trPr>
          <w:cantSplit/>
        </w:trPr>
        <w:tc>
          <w:tcPr>
            <w:tcW w:type="dxa" w:w="1247"/>
            <w:gridSpan w:val="4"/>
            <w:shd w:val="clear" w:color="auto" w:fill="F2F5FA"/>
            <w:tcBorders>
              <w:left w:val="single" w:sz="30" w:space="0" w:color="EB6834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NORMATIVIDAD PRESUPUESTAL  (1)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0A2F5C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before="20" w:after="20" w:line="264" w:lineRule="auto"/>
            </w:pPr>
            <w:hyperlink r:id="rId11">
              <w:r>
                <w:rPr>
                  <w:rFonts w:ascii="Arial" w:hAnsi="Arial" w:eastAsia="Arial" w:cs="Arial"/>
                  <w:b/>
                  <w:color w:val="0B5CAD"/>
                  <w:sz w:val="17"/>
                  <w:u w:val="single"/>
                </w:rPr>
                <w:t xml:space="preserve">RESOLUCIÓN MINISTERIAL N° 406-2026-VIVIENDA</w:t>
              </w:r>
            </w:hyperlink>
          </w:p>
          <w:p>
            <w:pPr>
              <w:spacing w:before="0" w:after="20" w:line="252" w:lineRule="auto"/>
            </w:pPr>
            <w:r>
              <w:rPr>
                <w:rFonts w:ascii="Arial" w:hAnsi="Arial" w:eastAsia="Arial"/>
                <w:b w:val="0"/>
                <w:i w:val="0"/>
                <w:color w:val="5B6880"/>
                <w:sz w:val="15"/>
              </w:rPr>
              <w:t>VIVIENDA, CONSTRUCCIÓN Y SANEAMIENTO</w:t>
            </w:r>
          </w:p>
        </w:tc>
        <w:tc>
          <w:tcPr>
            <w:tcW w:type="dxa" w:w="4762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Autorizan Transferencia Financiera a favor de la Empresa Prestadora de Servicios de Saneamiento Municipal de Agua Potable y Alcantarillado de Huánuco Sociedad Anónima</w:t>
            </w:r>
          </w:p>
        </w:tc>
        <w:tc>
          <w:tcPr>
            <w:tcW w:type="dxa" w:w="124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20/10/2026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B42318"/>
                <w:sz w:val="14"/>
              </w:rPr>
              <w:t>Edición extraordinaria</w:t>
            </w:r>
          </w:p>
        </w:tc>
      </w:tr>
    </w:tbl>
    <w:p>
      <w:pPr>
        <w:spacing w:before="280" w:after="120" w:line="276" w:lineRule="auto"/>
        <w:keepNext/>
        <w:pBdr>
          <w:bottom w:val="single" w:sz="6" w:space="2" w:color="C9D2DF"/>
        </w:pBdr>
      </w:pPr>
      <w:r>
        <w:rPr>
          <w:rFonts w:ascii="Arial" w:hAnsi="Arial" w:eastAsia="Arial"/>
          <w:b/>
          <w:i w:val="0"/>
          <w:color w:val="0A2F5C"/>
          <w:sz w:val="22"/>
        </w:rPr>
        <w:t>2. DETALLE DE LAS NORMAS</w:t>
      </w:r>
    </w:p>
    <w:p>
      <w:pPr>
        <w:keepNext/>
        <w:spacing w:before="160" w:after="80" w:line="276" w:lineRule="auto"/>
      </w:pPr>
      <w:r>
        <w:rPr>
          <w:rFonts w:ascii="Arial" w:hAnsi="Arial" w:eastAsia="Arial"/>
          <w:b/>
          <w:i w:val="0"/>
          <w:color w:val="0B5CAD"/>
          <w:sz w:val="21"/>
        </w:rPr>
        <w:t>2.1  Normatividad presupuestal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7370"/>
            <w:gridSpan w:val="2"/>
            <w:shd w:val="clear" w:color="auto" w:fill="E8F0FA"/>
            <w:tcBorders>
              <w:left w:val="single" w:sz="30" w:space="0" w:color="EB6834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9"/>
              </w:rPr>
              <w:t>1.  RESOLUCIÓN MINISTERIAL N° 406-2026-VIVIENDA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Entidad emisora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VIVIENDA, CONSTRUCCIÓN Y SANEAMIENTO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Publicación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20/10/2026 · Edición extraordinaria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Temas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Normatividad presupuestal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Sumilla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Autorizan Transferencia Financiera a favor de la Empresa Prestadora de Servicios de Saneamiento Municipal de Agua Potable y Alcantarillado de Huánuco Sociedad Anónima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Disposición principal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Artículo 1.- Transferencia Financiera Autorizar la Transferencia Financiera del Pliego 037: Ministerio de Vivienda, Construcción y Saneamiento, Unidad Ejecutora 004: Programa Nacional de Saneamiento Urbano, hasta por la suma de S/ 560 322,61 (QUINIENTOS SESENTA MIL TRESCIENTOS VEINTIDÓS Y 61/100 SOLES), a favor de la Empresa Prestadora de Servicios de Saneamiento Municipal de Agua Potable y Alcantarillado de Huánuco Sociedad Anónima, destinada a financiar la Contrapartida Nacional para la implementación del Programa de Reducción de Pérdidas de Agua II - Huánuco, respecto al Impuesto General a las Ventas (IGV) del servicio de consultoría para la implementación del referido programa. Artículo…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Montos citados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S/ 3 930 661 286,00 · S/ 560 322,61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Enlaces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hyperlink r:id="rId11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Texto completo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2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El Peruano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3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PDF</w:t>
              </w:r>
            </w:hyperlink>
          </w:p>
        </w:tc>
      </w:tr>
    </w:tbl>
    <w:p>
      <w:pPr>
        <w:spacing w:before="0" w:after="120" w:line="276" w:lineRule="auto"/>
      </w:pPr>
    </w:p>
    <w:p>
      <w:pPr>
        <w:spacing w:before="200" w:after="0" w:line="276" w:lineRule="auto"/>
        <w:jc w:val="both"/>
        <w:pBdr>
          <w:top w:val="single" w:sz="4" w:space="4" w:color="C9D2DF"/>
        </w:pBdr>
      </w:pPr>
      <w:r>
        <w:rPr>
          <w:rFonts w:ascii="Arial" w:hAnsi="Arial" w:eastAsia="Arial"/>
          <w:b/>
          <w:i w:val="0"/>
          <w:color w:val="5B6880"/>
          <w:sz w:val="15"/>
        </w:rPr>
        <w:t xml:space="preserve">Nota metodológica: </w:t>
      </w:r>
      <w:r>
        <w:rPr>
          <w:rFonts w:ascii="Arial" w:hAnsi="Arial" w:eastAsia="Arial"/>
          <w:b w:val="0"/>
          <w:i w:val="0"/>
          <w:color w:val="5B6880"/>
          <w:sz w:val="15"/>
        </w:rPr>
        <w:t xml:space="preserve">se revisan todas las normas publicadas en el Diario Oficial El Peruano en el periodo. Una norma se selecciona cuando su entidad, título o sumilla contiene alguno de los términos definidos para cada tema, o cuando su texto completo menciona a la ATU. Los criterios pueden consultarse y editarse en el panel: </w:t>
      </w:r>
      <w:hyperlink r:id="rId14">
        <w:r>
          <w:rPr>
            <w:rFonts w:ascii="Arial" w:hAnsi="Arial" w:eastAsia="Arial" w:cs="Arial"/>
            <w:color w:val="0B5CAD"/>
            <w:sz w:val="15"/>
            <w:u w:val="single"/>
          </w:rPr>
          <w:t xml:space="preserve">reneearmasr.github.io/monitor-normas-elperuano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9411" w:val="right"/>
      </w:tabs>
      <w:pBdr>
        <w:top w:val="single" w:sz="6" w:space="4" w:color="C9D2DF"/>
      </w:pBdr>
    </w:pPr>
    <w:r>
      <w:rPr>
        <w:rFonts w:ascii="Arial" w:hAnsi="Arial" w:eastAsia="Arial"/>
        <w:b w:val="0"/>
        <w:i w:val="0"/>
        <w:color w:val="5B6880"/>
        <w:sz w:val="15"/>
      </w:rPr>
      <w:t>Fuente: Diario Oficial El Peruano · Elaboración automática</w:t>
    </w:r>
    <w:r>
      <w:rPr>
        <w:rFonts w:ascii="Arial" w:hAnsi="Arial" w:eastAsia="Arial"/>
        <w:b w:val="0"/>
        <w:i w:val="0"/>
        <w:color w:val="5B6880"/>
        <w:sz w:val="15"/>
      </w:rPr>
      <w:tab/>
      <w:t xml:space="preserve">Página </w:t>
    </w:r>
    <w:r>
      <w:rPr>
        <w:rFonts w:ascii="Arial" w:hAnsi="Arial" w:eastAsia="Arial"/>
        <w:b w:val="0"/>
        <w:i w:val="0"/>
        <w:color w:val="5B6880"/>
        <w:sz w:val="15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eastAsia="Arial"/>
        <w:b w:val="0"/>
        <w:i w:val="0"/>
        <w:color w:val="5B6880"/>
        <w:sz w:val="15"/>
      </w:rPr>
      <w:t xml:space="preserve"> de </w:t>
    </w:r>
    <w:r>
      <w:rPr>
        <w:rFonts w:ascii="Arial" w:hAnsi="Arial" w:eastAsia="Arial"/>
        <w:b w:val="0"/>
        <w:i w:val="0"/>
        <w:color w:val="5B6880"/>
        <w:sz w:val="15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clear"/>
        <w:tab w:pos="9411" w:val="right"/>
      </w:tabs>
      <w:pBdr>
        <w:bottom w:val="single" w:sz="8" w:space="4" w:color="0A2F5C"/>
      </w:pBdr>
    </w:pPr>
    <w:r>
      <w:rPr>
        <w:rFonts w:ascii="Arial" w:hAnsi="Arial" w:eastAsia="Arial"/>
        <w:b/>
        <w:i w:val="0"/>
        <w:color w:val="0A2F5C"/>
        <w:sz w:val="15"/>
      </w:rPr>
      <w:t>AUTORIDAD DE TRANSPORTE URBANO PARA LIMA Y CALLAO</w:t>
    </w:r>
    <w:r>
      <w:rPr>
        <w:rFonts w:ascii="Arial" w:hAnsi="Arial" w:eastAsia="Arial"/>
        <w:b w:val="0"/>
        <w:i w:val="0"/>
        <w:color w:val="5B6880"/>
        <w:sz w:val="15"/>
      </w:rPr>
      <w:tab/>
      <w:t>Monitor de Normas Legales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busquedas.elperuano.pe/api/visor_html/2566267-1" TargetMode="External"/><Relationship Id="rId12" Type="http://schemas.openxmlformats.org/officeDocument/2006/relationships/hyperlink" Target="https://busquedas.elperuano.pe/dispositivo/EX/2566267-1" TargetMode="External"/><Relationship Id="rId13" Type="http://schemas.openxmlformats.org/officeDocument/2006/relationships/hyperlink" Target="https://busquedas.elperuano.pe/dispositivo/EX/2566267-1/pdf" TargetMode="External"/><Relationship Id="rId14" Type="http://schemas.openxmlformats.org/officeDocument/2006/relationships/hyperlink" Target="https://reneearmasr.github.io/monitor-normas-elperuan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