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Domingo 25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25/10/2026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11:13</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50</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5</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50 normas publicadas en el periodo, 5 resultan de interés institucional: 2 de normatividad presupuestal y 3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(2)</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DIRECTORAL  N° 0024-2026-EF/50.01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Resolución Directoral que aprueba los Procedimientos para el cumplimiento de indicadores y metas de la transferencia condicionada al Programa Presupuestal 0030: Reducción de delitos y faltas que afectan la seguridad ciudadana correspondiente al segundo semestre del 2026 y primer semestre del 2027 y anexos</w:t>
            </w:r>
          </w:p>
        </w:tc>
        <w:tc>
          <w:tcPr>
            <w:tcW w:type="dxa" w:w="1247"/>
          </w:tcPr>
          <w:p>
            <w:pPr>
              <w:spacing w:before="20" w:after="20" w:line="264" w:lineRule="auto"/>
              <w:jc w:val="center"/>
            </w:pPr>
            <w:r>
              <w:rPr>
                <w:rFonts w:ascii="Arial" w:hAnsi="Arial" w:eastAsia="Arial"/>
                <w:b w:val="0"/>
                <w:i w:val="0"/>
                <w:sz w:val="17"/>
              </w:rPr>
              <w:t>25/10/2026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JEFATURAL N° 000166-2026-SIS/J</w:t>
              </w:r>
            </w:hyperlink>
          </w:p>
          <w:p>
            <w:pPr>
              <w:spacing w:before="0" w:after="20" w:line="252" w:lineRule="auto"/>
            </w:pPr>
            <w:r>
              <w:rPr>
                <w:rFonts w:ascii="Arial" w:hAnsi="Arial" w:eastAsia="Arial"/>
                <w:b w:val="0"/>
                <w:i w:val="0"/>
                <w:color w:val="5B6880"/>
                <w:sz w:val="15"/>
              </w:rPr>
              <w:t>SEGURO INTEGRAL DE SALUD</w:t>
            </w:r>
          </w:p>
        </w:tc>
        <w:tc>
          <w:tcPr>
            <w:tcW w:type="dxa" w:w="4762"/>
          </w:tcPr>
          <w:p>
            <w:pPr>
              <w:spacing w:before="20" w:after="20" w:line="264" w:lineRule="auto"/>
            </w:pPr>
            <w:r>
              <w:rPr>
                <w:rFonts w:ascii="Arial" w:hAnsi="Arial" w:eastAsia="Arial"/>
                <w:b w:val="0"/>
                <w:i w:val="0"/>
                <w:sz w:val="17"/>
              </w:rPr>
              <w:t>Aprueban Transferencia Financiera a favor de unidades ejecutoras para financiar prestaciones de salud y administrativas vinculadas a traslados de emergencia</w:t>
            </w:r>
          </w:p>
        </w:tc>
        <w:tc>
          <w:tcPr>
            <w:tcW w:type="dxa" w:w="1247"/>
          </w:tcPr>
          <w:p>
            <w:pPr>
              <w:spacing w:before="20" w:after="20" w:line="264" w:lineRule="auto"/>
              <w:jc w:val="center"/>
            </w:pPr>
            <w:r>
              <w:rPr>
                <w:rFonts w:ascii="Arial" w:hAnsi="Arial" w:eastAsia="Arial"/>
                <w:b w:val="0"/>
                <w:i w:val="0"/>
                <w:sz w:val="17"/>
              </w:rPr>
              <w:t>25/10/2026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(3)</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MINISTERIAL  N° D000347-2026-MINAM</w:t>
              </w:r>
            </w:hyperlink>
          </w:p>
          <w:p>
            <w:pPr>
              <w:spacing w:before="0" w:after="20" w:line="252" w:lineRule="auto"/>
            </w:pPr>
            <w:r>
              <w:rPr>
                <w:rFonts w:ascii="Arial" w:hAnsi="Arial" w:eastAsia="Arial"/>
                <w:b w:val="0"/>
                <w:i w:val="0"/>
                <w:color w:val="5B6880"/>
                <w:sz w:val="15"/>
              </w:rPr>
              <w:t>AMBIENTE</w:t>
            </w:r>
          </w:p>
        </w:tc>
        <w:tc>
          <w:tcPr>
            <w:tcW w:type="dxa" w:w="4762"/>
          </w:tcPr>
          <w:p>
            <w:pPr>
              <w:spacing w:before="20" w:after="20" w:line="264" w:lineRule="auto"/>
            </w:pPr>
            <w:r>
              <w:rPr>
                <w:rFonts w:ascii="Arial" w:hAnsi="Arial" w:eastAsia="Arial"/>
                <w:b w:val="0"/>
                <w:i w:val="0"/>
                <w:sz w:val="17"/>
              </w:rPr>
              <w:t>Modifican la primera actualización del Listado de Inclusión de los Proyectos de Inversión sujetos al Sistema Nacional de Evaluación de Impacto Ambiental-SEIA</w:t>
            </w:r>
          </w:p>
        </w:tc>
        <w:tc>
          <w:tcPr>
            <w:tcW w:type="dxa" w:w="1247"/>
          </w:tcPr>
          <w:p>
            <w:pPr>
              <w:spacing w:before="20" w:after="20" w:line="264" w:lineRule="auto"/>
              <w:jc w:val="center"/>
            </w:pPr>
            <w:r>
              <w:rPr>
                <w:rFonts w:ascii="Arial" w:hAnsi="Arial" w:eastAsia="Arial"/>
                <w:b w:val="0"/>
                <w:i w:val="0"/>
                <w:sz w:val="17"/>
              </w:rPr>
              <w:t>25/10/2026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N° D000217-2026-MIDAGRI-SERFOR-DE</w:t>
              </w:r>
            </w:hyperlink>
          </w:p>
          <w:p>
            <w:pPr>
              <w:spacing w:before="0" w:after="20" w:line="252" w:lineRule="auto"/>
            </w:pPr>
            <w:r>
              <w:rPr>
                <w:rFonts w:ascii="Arial" w:hAnsi="Arial" w:eastAsia="Arial"/>
                <w:b w:val="0"/>
                <w:i w:val="0"/>
                <w:color w:val="5B6880"/>
                <w:sz w:val="15"/>
              </w:rPr>
              <w:t>DESARROLLO AGRARIO Y RIEGO</w:t>
            </w:r>
          </w:p>
        </w:tc>
        <w:tc>
          <w:tcPr>
            <w:tcW w:type="dxa" w:w="4762"/>
          </w:tcPr>
          <w:p>
            <w:pPr>
              <w:spacing w:before="20" w:after="20" w:line="264" w:lineRule="auto"/>
            </w:pPr>
            <w:r>
              <w:rPr>
                <w:rFonts w:ascii="Arial" w:hAnsi="Arial" w:eastAsia="Arial"/>
                <w:b w:val="0"/>
                <w:i w:val="0"/>
                <w:sz w:val="17"/>
              </w:rPr>
              <w:t>Aprueba la actualización del Protocolo de presentación y revisión del expediente técnico de Zonificación Forestal</w:t>
            </w:r>
          </w:p>
        </w:tc>
        <w:tc>
          <w:tcPr>
            <w:tcW w:type="dxa" w:w="1247"/>
          </w:tcPr>
          <w:p>
            <w:pPr>
              <w:spacing w:before="20" w:after="20" w:line="264" w:lineRule="auto"/>
              <w:jc w:val="center"/>
            </w:pPr>
            <w:r>
              <w:rPr>
                <w:rFonts w:ascii="Arial" w:hAnsi="Arial" w:eastAsia="Arial"/>
                <w:b w:val="0"/>
                <w:i w:val="0"/>
                <w:sz w:val="17"/>
              </w:rPr>
              <w:t>25/10/2026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Ordenanzas  N° 2867</w:t>
              </w:r>
            </w:hyperlink>
          </w:p>
          <w:p>
            <w:pPr>
              <w:spacing w:before="0" w:after="20" w:line="252" w:lineRule="auto"/>
            </w:pPr>
            <w:r>
              <w:rPr>
                <w:rFonts w:ascii="Arial" w:hAnsi="Arial" w:eastAsia="Arial"/>
                <w:b w:val="0"/>
                <w:i w:val="0"/>
                <w:color w:val="5B6880"/>
                <w:sz w:val="15"/>
              </w:rPr>
              <w:t>MUNICIPALIDAD METROPOLITANA DE LIMA</w:t>
            </w:r>
          </w:p>
        </w:tc>
        <w:tc>
          <w:tcPr>
            <w:tcW w:type="dxa" w:w="4762"/>
          </w:tcPr>
          <w:p>
            <w:pPr>
              <w:spacing w:before="20" w:after="20" w:line="264" w:lineRule="auto"/>
            </w:pPr>
            <w:r>
              <w:rPr>
                <w:rFonts w:ascii="Arial" w:hAnsi="Arial" w:eastAsia="Arial"/>
                <w:b w:val="0"/>
                <w:i w:val="0"/>
                <w:sz w:val="17"/>
              </w:rPr>
              <w:t>Ordenanza que establece como órgano encargado de la supervisión de los contratos con participación privada al Fondo Metropolitano de Inversiones (INVERMET)</w:t>
            </w:r>
          </w:p>
        </w:tc>
        <w:tc>
          <w:tcPr>
            <w:tcW w:type="dxa" w:w="1247"/>
          </w:tcPr>
          <w:p>
            <w:pPr>
              <w:spacing w:before="20" w:after="20" w:line="264" w:lineRule="auto"/>
              <w:jc w:val="center"/>
            </w:pPr>
            <w:r>
              <w:rPr>
                <w:rFonts w:ascii="Arial" w:hAnsi="Arial" w:eastAsia="Arial"/>
                <w:b w:val="0"/>
                <w:i w:val="0"/>
                <w:sz w:val="17"/>
              </w:rPr>
              <w:t>25/10/2026</w:t>
            </w:r>
          </w:p>
          <w:p>
            <w:pPr>
              <w:spacing w:before="0" w:after="0" w:line="240" w:lineRule="auto"/>
              <w:jc w:val="center"/>
            </w:pPr>
            <w:r>
              <w:rPr>
                <w:rFonts w:ascii="Arial" w:hAnsi="Arial" w:eastAsia="Arial"/>
                <w:b w:val="0"/>
                <w:i w:val="0"/>
                <w:color w:val="5B6880"/>
                <w:sz w:val="14"/>
              </w:rPr>
              <w:t>Publicación digital</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DIRECTORAL  N° 0024-2026-EF/50.01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Resolución Directoral que aprueba los Procedimientos para el cumplimiento de indicadores y metas de la transferencia condicionada al Programa Presupuestal 0030: Reducción de delitos y faltas que afectan la seguridad ciudadana correspondiente al segundo semestre del 2026 y primer semestre del 2027 y anexos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Aprobar los “Procedimientos para el cumplimiento de indicadores y metas de la Transferencia Condicionada al Programa Presupuestal 0030: Reducción de delitos y faltas que afectan la seguridad ciudadana, correspondiente al segundo semestre del 2026 y primer semestre del 2027”, así como el Anexo I “Metas de los indicadores del IP–PNP 2026-2027”, el Anexo II “Formato para la elaboración del Plan de Uso de Recursos (PUR)” y el Anexo III “Relación de Comisarías de la PNP priorizadas”; los cuales forman parte integrante de la presente Resolución Directoral. Artículo 2.- Publicación La presente Resolución Directoral y sus Anexos se publican en la sede digital del Ministerio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JEFATURAL N° 000166-2026-SIS/J</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SEGURO INTEGRAL DE SALUD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unidades ejecutoras para financiar prestaciones de salud y administrativas vinculadas a traslados de emergencia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Transferencia Financiera de la Unidad Ejecutora 001-1091 Seguro Integral de Salud - SIS hasta por la suma de S/ 11,061,013.00 (ONCE MILLONES SESENTA Y UN MIL TRECE CON 00/100 SOLES), con cargo a las Fuentes de Financiamiento: Recursos Ordinarios y Recursos Directamente Recaudados, a favor de las unidades ejecutoras descritas en el Anexo N° 01 “Pliego 135 - Seguro Integral de Salud - Unidad Ejecutora 001 - 1091 Seguro Integral de Salud - Transferencia Financiera - Recursos Ordinarios - Recursos Directamente Recaudados - Octubre 2026” adjunto a la presente resolución, para financiar las prestaciones de salud y administrativas vinculadas a traslados de emergencia,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2 535 033 002,00 · S/ 11,061,013.00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3.  RESOLUCIÓN MINISTERIAL  N° D000347-2026-MINAM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AMBIENTE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la primera actualización del Listado de Inclusión de los Proyectos de Inversión sujetos al Sistema Nacional de Evaluación de Impacto Ambiental-SEIA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Modificar la Primera Actualización del Listado de Inclusión de los Proyectos de Inversión sujetos al Sistema Nacional de Evaluación de Impacto Ambiental - SEIA, aprobada mediante Resolución Ministerial Nº 157-2011-MINAM y normas modificatorias, con el objeto de incorporar una nota respecto de los proyectos de inversión del Sector Saneamiento, conforme al siguiente detalle: SECTOR GOBIERNO NACIONAL - SECTORIAL GOBIERNO REGIONAL GOBIERNO LOCAL SANEAMIENTO Ministerio de Vivienda, Construcción y Saneamiento Saneamiento 7. Represamiento de agua para potabilización. 8. Proyectos Integrales de Agua y Saneamiento para poblaciones mayores a 15,000 habitantes. 9. Proyectos integrales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N° D000217-2026-MIDAGRI-SERFOR-DE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DESARROLLO AGRARIO Y RIEGO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 la actualización del Protocolo de presentación y revisión del expediente técnico de Zonificación Forestal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actualización del “Protocolo de presentación y revisión del expediente técnico de Zonificación Forestal”, que como Anexo forma parte integrante de la presente resolución. Artículo 2.- Dejar sin efecto la Resolución de Dirección Ejecutiva Nº 268-2018-MINAGRI-SERFOR/DE que aprueba el “Protocolo de presentación y revisión del expediente técnico de Zonificación Forestal”. Artículo 3.- Disponer la publicación de la presente Resolución en el Diario Oficial El Peruano, así como la publicación de dicho acto resolutivo y su Anexo en el Portal Institucional del Servicio Nacional Forestal y de Fauna Silvestre – SERFOR. ( https://www.gob.pe/serfor ). Regístrese, comuníquese y…</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Ordenanzas  N° 2867</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MUNICIPALIDAD METROPOLITANA DE LIMA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25/10/2026 · Publicación digital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Ordenanza que establece como órgano encargado de la supervisión de los contratos con participación privada al Fondo Metropolitano de Inversiones (INVERMET)</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La presente ordenanza tiene por objeto establecer como el órgano encargado de la supervisión de los contratos con participación privada al Fondo Metropolitano de Inversiones (INVERMET) en el marco de lo establecido en la Ley Nº 32441 y lo establecido en la Ley Nº 27972 y demás normas vinculadas al régimen de participación privada. Artículo 2.- Finalidad La presente ordenanza tiene por finalidad garantizar la adecuada supervisión de los contratos con participación privada, asegurando su correcta ejecución y el cumplimiento de obligaciones contractuales con sujeción al marco normativo vigente. TÍTULO II DISPOSICIONES ESPECÍFICAS CAPÍTULO I ALCANCES DE LA SUPERVISIÓN,…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5">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8104-1" TargetMode="External"/><Relationship Id="rId12" Type="http://schemas.openxmlformats.org/officeDocument/2006/relationships/hyperlink" Target="https://busquedas.elperuano.pe/api/visor_html/2568160-1" TargetMode="External"/><Relationship Id="rId13" Type="http://schemas.openxmlformats.org/officeDocument/2006/relationships/hyperlink" Target="https://busquedas.elperuano.pe/api/visor_html/2568119-1" TargetMode="External"/><Relationship Id="rId14" Type="http://schemas.openxmlformats.org/officeDocument/2006/relationships/hyperlink" Target="https://busquedas.elperuano.pe/api/visor_html/2568113-1" TargetMode="External"/><Relationship Id="rId15" Type="http://schemas.openxmlformats.org/officeDocument/2006/relationships/hyperlink" Target="https://busquedas.elperuano.pe/api/visor_html/2568110-1" TargetMode="External"/><Relationship Id="rId16" Type="http://schemas.openxmlformats.org/officeDocument/2006/relationships/hyperlink" Target="https://busquedas.elperuano.pe/dispositivo/NL/2568104-1" TargetMode="External"/><Relationship Id="rId17" Type="http://schemas.openxmlformats.org/officeDocument/2006/relationships/hyperlink" Target="https://busquedas.elperuano.pe/dispositivo/NL/2568104-1/pdf" TargetMode="External"/><Relationship Id="rId18" Type="http://schemas.openxmlformats.org/officeDocument/2006/relationships/hyperlink" Target="https://busquedas.elperuano.pe/dispositivo/EX/2568160-1" TargetMode="External"/><Relationship Id="rId19" Type="http://schemas.openxmlformats.org/officeDocument/2006/relationships/hyperlink" Target="https://busquedas.elperuano.pe/dispositivo/EX/2568160-1/pdf" TargetMode="External"/><Relationship Id="rId20" Type="http://schemas.openxmlformats.org/officeDocument/2006/relationships/hyperlink" Target="https://busquedas.elperuano.pe/dispositivo/NL/2568119-1" TargetMode="External"/><Relationship Id="rId21" Type="http://schemas.openxmlformats.org/officeDocument/2006/relationships/hyperlink" Target="https://busquedas.elperuano.pe/dispositivo/NL/2568119-1/pdf" TargetMode="External"/><Relationship Id="rId22" Type="http://schemas.openxmlformats.org/officeDocument/2006/relationships/hyperlink" Target="https://busquedas.elperuano.pe/dispositivo/NL/2568113-1" TargetMode="External"/><Relationship Id="rId23" Type="http://schemas.openxmlformats.org/officeDocument/2006/relationships/hyperlink" Target="https://busquedas.elperuano.pe/dispositivo/NL/2568113-1/pdf" TargetMode="External"/><Relationship Id="rId24" Type="http://schemas.openxmlformats.org/officeDocument/2006/relationships/hyperlink" Target="https://epdoc2.elperuano.pe/EpPo/VistaDE.asp?Referencias=MjU2ODExMC0xMjAyNjEwMjU=" TargetMode="External"/><Relationship Id="rId25"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