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Resumen de Normas Legales – Diario Oficial El Peruano</w:t>
      </w:r>
    </w:p>
    <w:p>
      <w:pPr>
        <w:jc w:val="center"/>
      </w:pPr>
      <w:r>
        <w:rPr>
          <w:b/>
        </w:rPr>
        <w:t>Periodo revisado: 03/09/2026</w:t>
        <w:br/>
      </w:r>
      <w:r>
        <w:t>Generado: 26/10/2026 10:16  ·  Fuente: diariooficial.elperuano.pe</w:t>
      </w:r>
    </w:p>
    <w:p>
      <w:pPr>
        <w:pStyle w:val="Heading1"/>
      </w:pPr>
      <w:r>
        <w:t>1. Resumen ejecutivo</w:t>
      </w:r>
    </w:p>
    <w:p>
      <w:r>
        <w:t>Se revisaron 92 normas publicadas en el periodo. 1 resultan de interés para la ATU por tratar sobre la entidad, la normatividad presupuestal o las inversiones.</w:t>
      </w:r>
    </w:p>
    <w:tbl>
      <w:tblPr>
        <w:tblStyle w:val="LightGrid-Accent1"/>
        <w:tblW w:type="auto" w:w="0"/>
        <w:tblLook w:firstColumn="1" w:firstRow="1" w:lastColumn="0" w:lastRow="0" w:noHBand="0" w:noVBand="1" w:val="04A0"/>
      </w:tblPr>
      <w:tblGrid>
        <w:gridCol w:w="4986"/>
        <w:gridCol w:w="4986"/>
      </w:tblGrid>
      <w:tr>
        <w:tc>
          <w:tcPr>
            <w:tcW w:type="dxa" w:w="4986"/>
          </w:tcPr>
          <w:p>
            <w:r>
              <w:t>Tema</w:t>
            </w:r>
          </w:p>
        </w:tc>
        <w:tc>
          <w:tcPr>
            <w:tcW w:type="dxa" w:w="4986"/>
          </w:tcPr>
          <w:p>
            <w:r>
              <w:t>N.° de normas</w:t>
            </w:r>
          </w:p>
        </w:tc>
      </w:tr>
      <w:tr>
        <w:tc>
          <w:tcPr>
            <w:tcW w:type="dxa" w:w="4986"/>
          </w:tcPr>
          <w:p>
            <w:r>
              <w:t>ATU y transporte urbano</w:t>
            </w:r>
          </w:p>
        </w:tc>
        <w:tc>
          <w:tcPr>
            <w:tcW w:type="dxa" w:w="4986"/>
          </w:tcPr>
          <w:p>
            <w:r>
              <w:t>0</w:t>
            </w:r>
          </w:p>
        </w:tc>
      </w:tr>
      <w:tr>
        <w:tc>
          <w:tcPr>
            <w:tcW w:type="dxa" w:w="4986"/>
          </w:tcPr>
          <w:p>
            <w:r>
              <w:t>Normatividad presupuestal</w:t>
            </w:r>
          </w:p>
        </w:tc>
        <w:tc>
          <w:tcPr>
            <w:tcW w:type="dxa" w:w="4986"/>
          </w:tcPr>
          <w:p>
            <w:r>
              <w:t>1</w:t>
            </w:r>
          </w:p>
        </w:tc>
      </w:tr>
      <w:tr>
        <w:tc>
          <w:tcPr>
            <w:tcW w:type="dxa" w:w="4986"/>
          </w:tcPr>
          <w:p>
            <w:r>
              <w:t>Inversiones</w:t>
            </w:r>
          </w:p>
        </w:tc>
        <w:tc>
          <w:tcPr>
            <w:tcW w:type="dxa" w:w="4986"/>
          </w:tcPr>
          <w:p>
            <w:r>
              <w:t>0</w:t>
            </w:r>
          </w:p>
        </w:tc>
      </w:tr>
    </w:tbl>
    <w:p>
      <w:pPr>
        <w:pStyle w:val="Heading1"/>
      </w:pPr>
      <w:r>
        <w:t>2. Normatividad presupuestal (1)</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8"/>
              </w:rPr>
              <w:t>Fecha</w:t>
            </w:r>
          </w:p>
        </w:tc>
        <w:tc>
          <w:tcPr>
            <w:tcW w:type="dxa" w:w="1984"/>
            <w:shd w:val="clear" w:color="auto" w:fill="1F4E79"/>
          </w:tcPr>
          <w:p>
            <w:r>
              <w:rPr>
                <w:b/>
                <w:color w:val="FFFFFF"/>
                <w:sz w:val="18"/>
              </w:rPr>
              <w:t>Entidad</w:t>
            </w:r>
          </w:p>
        </w:tc>
        <w:tc>
          <w:tcPr>
            <w:tcW w:type="dxa" w:w="2268"/>
            <w:shd w:val="clear" w:color="auto" w:fill="1F4E79"/>
          </w:tcPr>
          <w:p>
            <w:r>
              <w:rPr>
                <w:b/>
                <w:color w:val="FFFFFF"/>
                <w:sz w:val="18"/>
              </w:rPr>
              <w:t>Norma</w:t>
            </w:r>
          </w:p>
        </w:tc>
        <w:tc>
          <w:tcPr>
            <w:tcW w:type="dxa" w:w="4139"/>
            <w:shd w:val="clear" w:color="auto" w:fill="1F4E79"/>
          </w:tcPr>
          <w:p>
            <w:r>
              <w:rPr>
                <w:b/>
                <w:color w:val="FFFFFF"/>
                <w:sz w:val="18"/>
              </w:rPr>
              <w:t>Sumilla</w:t>
            </w:r>
          </w:p>
        </w:tc>
      </w:tr>
      <w:tr>
        <w:tc>
          <w:tcPr>
            <w:tcW w:type="dxa" w:w="1247"/>
          </w:tcPr>
          <w:p>
            <w:r>
              <w:rPr>
                <w:sz w:val="18"/>
              </w:rPr>
              <w:t>03/09/2026</w:t>
            </w:r>
          </w:p>
        </w:tc>
        <w:tc>
          <w:tcPr>
            <w:tcW w:type="dxa" w:w="1984"/>
          </w:tcPr>
          <w:p>
            <w:r>
              <w:rPr>
                <w:sz w:val="18"/>
              </w:rPr>
              <w:t>JUSTICIA Y DERECHOS HUMANOS</w:t>
            </w:r>
          </w:p>
        </w:tc>
        <w:tc>
          <w:tcPr>
            <w:tcW w:type="dxa" w:w="2268"/>
          </w:tcPr>
          <w:p>
            <w:r>
              <w:rPr>
                <w:sz w:val="18"/>
              </w:rPr>
            </w:r>
            <w:hyperlink r:id="rId9">
              <w:r>
                <w:rPr>
                  <w:color w:val="0563C1"/>
                  <w:u w:val="single"/>
                </w:rPr>
                <w:t>RESOLUCIÓN MINISTERIAL  N° 329-2026-JUS</w:t>
              </w:r>
            </w:hyperlink>
          </w:p>
        </w:tc>
        <w:tc>
          <w:tcPr>
            <w:tcW w:type="dxa" w:w="4139"/>
          </w:tcPr>
          <w:p>
            <w:r>
              <w:rPr>
                <w:sz w:val="18"/>
              </w:rPr>
              <w:t>Autorizan Transferencia Financiera a favor de la Contraloría General de la República</w:t>
            </w:r>
          </w:p>
        </w:tc>
      </w:tr>
    </w:tbl>
    <w:p/>
    <w:p>
      <w:pPr>
        <w:pStyle w:val="Heading3"/>
      </w:pPr>
      <w:r>
        <w:t>RESOLUCIÓN MINISTERIAL  N° 329-2026-JUS</w:t>
      </w:r>
    </w:p>
    <w:p>
      <w:r>
        <w:rPr>
          <w:b/>
        </w:rPr>
        <w:t xml:space="preserve">Entidad: </w:t>
      </w:r>
      <w:r>
        <w:t xml:space="preserve">JUSTICIA Y DERECHOS HUMANOS   </w:t>
      </w:r>
      <w:r>
        <w:rPr>
          <w:b/>
        </w:rPr>
        <w:t xml:space="preserve">Fecha: </w:t>
      </w:r>
      <w:r>
        <w:t>03/09/2026</w:t>
      </w:r>
    </w:p>
    <w:p>
      <w:r>
        <w:rPr>
          <w:b/>
        </w:rPr>
        <w:t xml:space="preserve">Temas: </w:t>
      </w:r>
      <w:r>
        <w:t>Normatividad presupuestal</w:t>
      </w:r>
    </w:p>
    <w:p>
      <w:r>
        <w:rPr>
          <w:b/>
        </w:rPr>
        <w:t xml:space="preserve">Sumilla: </w:t>
      </w:r>
      <w:r>
        <w:t>Autorizan Transferencia Financiera a favor de la Contraloría General de la República</w:t>
      </w:r>
    </w:p>
    <w:p>
      <w:r>
        <w:rPr>
          <w:b/>
        </w:rPr>
        <w:t xml:space="preserve">Dispone: </w:t>
      </w:r>
      <w:r>
        <w:t>Artículo 1.- Transferencia Financiera a favor de la Contraloría General de la República Autorizar la transferencia financiera del Pliego 006: Ministerio de Justicia y Derechos Humanos, hasta por la suma S/ 197 107,00 (Ciento Noventa y Siete Mil Ciento Siete y 00/100) a favor de la Unidad Ejecutora 001-196: Contraloría General, correspondiente al pago de la totalidad de la retribución económica para la sociedad de auditoría designada para realizar la auditoría financiera gubernamental correspondiente al periodo 2026 en el Ministerio de Justicia y Derechos Humanos. Artículo 2.- Financiamiento La Transferencia Financiera autorizada mediante la presente Resolución Ministerial se realiza con…</w:t>
      </w:r>
    </w:p>
    <w:p>
      <w:r>
        <w:rPr>
          <w:b/>
        </w:rPr>
        <w:t xml:space="preserve">Montos citados: </w:t>
      </w:r>
      <w:r>
        <w:t>S/ 713, S/ 197</w:t>
      </w:r>
    </w:p>
    <w:p>
      <w:hyperlink r:id="rId9">
        <w:r>
          <w:rPr>
            <w:color w:val="0563C1"/>
            <w:u w:val="single"/>
          </w:rPr>
          <w:t>Ver texto completo</w:t>
        </w:r>
      </w:hyperlink>
      <w:r>
        <w:t xml:space="preserve">   </w:t>
      </w:r>
      <w:hyperlink r:id="rId10">
        <w:r>
          <w:rPr>
            <w:color w:val="0563C1"/>
            <w:u w:val="single"/>
          </w:rPr>
          <w:t>Ver en El Peruano</w:t>
        </w:r>
      </w:hyperlink>
      <w:r>
        <w:t xml:space="preserve">   </w:t>
      </w:r>
      <w:hyperlink r:id="rId11">
        <w:r>
          <w:rPr>
            <w:color w:val="0563C1"/>
            <w:u w:val="single"/>
          </w:rPr>
          <w:t>PDF</w:t>
        </w:r>
      </w:hyperlink>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squedas.elperuano.pe/api/visor_html/2550018-1" TargetMode="External"/><Relationship Id="rId10" Type="http://schemas.openxmlformats.org/officeDocument/2006/relationships/hyperlink" Target="https://busquedas.elperuano.pe/dispositivo/NL/2550018-1" TargetMode="External"/><Relationship Id="rId11" Type="http://schemas.openxmlformats.org/officeDocument/2006/relationships/hyperlink" Target="https://busquedas.elperuano.pe/dispositivo/NL/2550018-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