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Resumen de Normas Legales – Diario Oficial El Peruano</w:t>
      </w:r>
    </w:p>
    <w:p>
      <w:pPr>
        <w:jc w:val="center"/>
      </w:pPr>
      <w:r>
        <w:rPr>
          <w:b/>
        </w:rPr>
        <w:t>Periodo revisado: 07/09/2026</w:t>
        <w:br/>
      </w:r>
      <w:r>
        <w:t>Generado: 26/10/2026 10:17  ·  Fuente: diariooficial.elperuano.pe</w:t>
      </w:r>
    </w:p>
    <w:p>
      <w:pPr>
        <w:pStyle w:val="Heading1"/>
      </w:pPr>
      <w:r>
        <w:t>1. Resumen ejecutivo</w:t>
      </w:r>
    </w:p>
    <w:p>
      <w:r>
        <w:t>Se revisaron 31 normas publicadas en el periodo. 2 resultan de interés para la ATU por tratar sobre la entidad, la normatividad presupuestal o las inversiones.</w:t>
      </w:r>
    </w:p>
    <w:tbl>
      <w:tblPr>
        <w:tblStyle w:val="LightGrid-Accent1"/>
        <w:tblW w:type="auto" w:w="0"/>
        <w:tblLook w:firstColumn="1" w:firstRow="1" w:lastColumn="0" w:lastRow="0" w:noHBand="0" w:noVBand="1" w:val="04A0"/>
      </w:tblPr>
      <w:tblGrid>
        <w:gridCol w:w="4986"/>
        <w:gridCol w:w="4986"/>
      </w:tblGrid>
      <w:tr>
        <w:tc>
          <w:tcPr>
            <w:tcW w:type="dxa" w:w="4986"/>
          </w:tcPr>
          <w:p>
            <w:r>
              <w:t>Tema</w:t>
            </w:r>
          </w:p>
        </w:tc>
        <w:tc>
          <w:tcPr>
            <w:tcW w:type="dxa" w:w="4986"/>
          </w:tcPr>
          <w:p>
            <w:r>
              <w:t>N.° de normas</w:t>
            </w:r>
          </w:p>
        </w:tc>
      </w:tr>
      <w:tr>
        <w:tc>
          <w:tcPr>
            <w:tcW w:type="dxa" w:w="4986"/>
          </w:tcPr>
          <w:p>
            <w:r>
              <w:t>ATU y transporte urbano</w:t>
            </w:r>
          </w:p>
        </w:tc>
        <w:tc>
          <w:tcPr>
            <w:tcW w:type="dxa" w:w="4986"/>
          </w:tcPr>
          <w:p>
            <w:r>
              <w:t>1</w:t>
            </w:r>
          </w:p>
        </w:tc>
      </w:tr>
      <w:tr>
        <w:tc>
          <w:tcPr>
            <w:tcW w:type="dxa" w:w="4986"/>
          </w:tcPr>
          <w:p>
            <w:r>
              <w:t>Normatividad presupuestal</w:t>
            </w:r>
          </w:p>
        </w:tc>
        <w:tc>
          <w:tcPr>
            <w:tcW w:type="dxa" w:w="4986"/>
          </w:tcPr>
          <w:p>
            <w:r>
              <w:t>1</w:t>
            </w:r>
          </w:p>
        </w:tc>
      </w:tr>
      <w:tr>
        <w:tc>
          <w:tcPr>
            <w:tcW w:type="dxa" w:w="4986"/>
          </w:tcPr>
          <w:p>
            <w:r>
              <w:t>Inversiones</w:t>
            </w:r>
          </w:p>
        </w:tc>
        <w:tc>
          <w:tcPr>
            <w:tcW w:type="dxa" w:w="4986"/>
          </w:tcPr>
          <w:p>
            <w:r>
              <w:t>0</w:t>
            </w:r>
          </w:p>
        </w:tc>
      </w:tr>
    </w:tbl>
    <w:p/>
    <w:p>
      <w:r>
        <w:rPr>
          <w:b/>
          <w:color w:val="C00000"/>
        </w:rPr>
        <w:t>Atención – normas que mencionan a la ATU o al transporte urbano de Lima y Callao:</w:t>
      </w:r>
    </w:p>
    <w:p>
      <w:pPr>
        <w:pStyle w:val="ListBullet"/>
      </w:pPr>
      <w:r>
        <w:t>RESOLUCIÓN  N° 208-2026-ATU/PE (AUTORIDAD DE TRANSPORTE URBANO PARA LIMA Y CALLAO): Designan Jefe de la Unidad de Tecnologías de la Información de la Oficina de Administración</w:t>
      </w:r>
    </w:p>
    <w:p>
      <w:pPr>
        <w:pStyle w:val="Heading1"/>
      </w:pPr>
      <w:r>
        <w:t>2. ATU y transporte urbano (1)</w:t>
      </w:r>
    </w:p>
    <w:tbl>
      <w:tblPr>
        <w:tblStyle w:val="TableGrid"/>
        <w:tblW w:type="auto" w:w="0"/>
        <w:tblLook w:firstColumn="1" w:firstRow="1" w:lastColumn="0" w:lastRow="0" w:noHBand="0" w:noVBand="1" w:val="04A0"/>
      </w:tblPr>
      <w:tblGrid>
        <w:gridCol w:w="2493"/>
        <w:gridCol w:w="2493"/>
        <w:gridCol w:w="2493"/>
        <w:gridCol w:w="2493"/>
      </w:tblGrid>
      <w:tr>
        <w:tc>
          <w:tcPr>
            <w:tcW w:type="dxa" w:w="1247"/>
            <w:shd w:val="clear" w:color="auto" w:fill="1F4E79"/>
          </w:tcPr>
          <w:p>
            <w:r>
              <w:rPr>
                <w:b/>
                <w:color w:val="FFFFFF"/>
                <w:sz w:val="18"/>
              </w:rPr>
              <w:t>Fecha</w:t>
            </w:r>
          </w:p>
        </w:tc>
        <w:tc>
          <w:tcPr>
            <w:tcW w:type="dxa" w:w="1984"/>
            <w:shd w:val="clear" w:color="auto" w:fill="1F4E79"/>
          </w:tcPr>
          <w:p>
            <w:r>
              <w:rPr>
                <w:b/>
                <w:color w:val="FFFFFF"/>
                <w:sz w:val="18"/>
              </w:rPr>
              <w:t>Entidad</w:t>
            </w:r>
          </w:p>
        </w:tc>
        <w:tc>
          <w:tcPr>
            <w:tcW w:type="dxa" w:w="2268"/>
            <w:shd w:val="clear" w:color="auto" w:fill="1F4E79"/>
          </w:tcPr>
          <w:p>
            <w:r>
              <w:rPr>
                <w:b/>
                <w:color w:val="FFFFFF"/>
                <w:sz w:val="18"/>
              </w:rPr>
              <w:t>Norma</w:t>
            </w:r>
          </w:p>
        </w:tc>
        <w:tc>
          <w:tcPr>
            <w:tcW w:type="dxa" w:w="4139"/>
            <w:shd w:val="clear" w:color="auto" w:fill="1F4E79"/>
          </w:tcPr>
          <w:p>
            <w:r>
              <w:rPr>
                <w:b/>
                <w:color w:val="FFFFFF"/>
                <w:sz w:val="18"/>
              </w:rPr>
              <w:t>Sumilla</w:t>
            </w:r>
          </w:p>
        </w:tc>
      </w:tr>
      <w:tr>
        <w:tc>
          <w:tcPr>
            <w:tcW w:type="dxa" w:w="1247"/>
          </w:tcPr>
          <w:p>
            <w:r>
              <w:rPr>
                <w:sz w:val="18"/>
              </w:rPr>
              <w:t>07/09/2026</w:t>
            </w:r>
          </w:p>
        </w:tc>
        <w:tc>
          <w:tcPr>
            <w:tcW w:type="dxa" w:w="1984"/>
          </w:tcPr>
          <w:p>
            <w:r>
              <w:rPr>
                <w:sz w:val="18"/>
              </w:rPr>
              <w:t>AUTORIDAD DE TRANSPORTE URBANO PARA LIMA Y CALLAO</w:t>
            </w:r>
          </w:p>
        </w:tc>
        <w:tc>
          <w:tcPr>
            <w:tcW w:type="dxa" w:w="2268"/>
          </w:tcPr>
          <w:p>
            <w:r>
              <w:rPr>
                <w:sz w:val="18"/>
              </w:rPr>
            </w:r>
            <w:hyperlink r:id="rId9">
              <w:r>
                <w:rPr>
                  <w:color w:val="0563C1"/>
                  <w:u w:val="single"/>
                </w:rPr>
                <w:t>RESOLUCIÓN  N° 208-2026-ATU/PE</w:t>
              </w:r>
            </w:hyperlink>
          </w:p>
        </w:tc>
        <w:tc>
          <w:tcPr>
            <w:tcW w:type="dxa" w:w="4139"/>
          </w:tcPr>
          <w:p>
            <w:r>
              <w:rPr>
                <w:sz w:val="18"/>
              </w:rPr>
              <w:t>Designan Jefe de la Unidad de Tecnologías de la Información de la Oficina de Administración</w:t>
            </w:r>
          </w:p>
        </w:tc>
      </w:tr>
    </w:tbl>
    <w:p/>
    <w:p>
      <w:pPr>
        <w:pStyle w:val="Heading3"/>
      </w:pPr>
      <w:r>
        <w:t>RESOLUCIÓN  N° 208-2026-ATU/PE</w:t>
      </w:r>
    </w:p>
    <w:p>
      <w:r>
        <w:rPr>
          <w:b/>
        </w:rPr>
        <w:t xml:space="preserve">Entidad: </w:t>
      </w:r>
      <w:r>
        <w:t xml:space="preserve">AUTORIDAD DE TRANSPORTE URBANO PARA LIMA Y CALLAO   </w:t>
      </w:r>
      <w:r>
        <w:rPr>
          <w:b/>
        </w:rPr>
        <w:t xml:space="preserve">Fecha: </w:t>
      </w:r>
      <w:r>
        <w:t>07/09/2026</w:t>
      </w:r>
    </w:p>
    <w:p>
      <w:r>
        <w:rPr>
          <w:b/>
        </w:rPr>
        <w:t xml:space="preserve">Temas: </w:t>
      </w:r>
      <w:r>
        <w:t>ATU y transporte urbano</w:t>
      </w:r>
    </w:p>
    <w:p>
      <w:r>
        <w:rPr>
          <w:b/>
        </w:rPr>
        <w:t xml:space="preserve">Sumilla: </w:t>
      </w:r>
      <w:r>
        <w:t>Designan Jefe de la Unidad de Tecnologías de la Información de la Oficina de Administración</w:t>
      </w:r>
    </w:p>
    <w:p>
      <w:r>
        <w:rPr>
          <w:b/>
        </w:rPr>
        <w:t xml:space="preserve">Dispone: </w:t>
      </w:r>
      <w:r>
        <w:t>Artículo 1 .- Designar, a partir del 07 de setiembre de 2026, al señor RICHARD MANUEL FLORES CABELLO en el puesto de Jefe de la Unidad de Tecnologías de la Información de la Oficina de Administración, con Código AIRHSP N° 002847 de la Autoridad de Transporte Urbano para Lima y Callao - ATU. Artículo 2 .- Notificar la presente resolución al señor RICHARD MANUEL FLORES CABELLO y a la Oficina de Gestión de Recursos Humanos, para los fines pertinentes. Artículo 3 .- Disponer la publicación de la presente resolución en el Diario Oficial “El Peruano” y en la sede digital de la Autoridad de Transporte Urbano para Lima y Callao - ATU ( https://www.gob.pe/atu ). Regístrese, comuníquese y publíquese.…</w:t>
      </w:r>
    </w:p>
    <w:p>
      <w:hyperlink r:id="rId9">
        <w:r>
          <w:rPr>
            <w:color w:val="0563C1"/>
            <w:u w:val="single"/>
          </w:rPr>
          <w:t>Ver texto completo</w:t>
        </w:r>
      </w:hyperlink>
      <w:r>
        <w:t xml:space="preserve">   </w:t>
      </w:r>
      <w:hyperlink r:id="rId10">
        <w:r>
          <w:rPr>
            <w:color w:val="0563C1"/>
            <w:u w:val="single"/>
          </w:rPr>
          <w:t>Ver en El Peruano</w:t>
        </w:r>
      </w:hyperlink>
      <w:r>
        <w:t xml:space="preserve">   </w:t>
      </w:r>
      <w:hyperlink r:id="rId11">
        <w:r>
          <w:rPr>
            <w:color w:val="0563C1"/>
            <w:u w:val="single"/>
          </w:rPr>
          <w:t>PDF</w:t>
        </w:r>
      </w:hyperlink>
    </w:p>
    <w:p>
      <w:pPr>
        <w:pStyle w:val="Heading1"/>
      </w:pPr>
      <w:r>
        <w:t>3. Normatividad presupuestal (1)</w:t>
      </w:r>
    </w:p>
    <w:tbl>
      <w:tblPr>
        <w:tblStyle w:val="TableGrid"/>
        <w:tblW w:type="auto" w:w="0"/>
        <w:tblLook w:firstColumn="1" w:firstRow="1" w:lastColumn="0" w:lastRow="0" w:noHBand="0" w:noVBand="1" w:val="04A0"/>
      </w:tblPr>
      <w:tblGrid>
        <w:gridCol w:w="2493"/>
        <w:gridCol w:w="2493"/>
        <w:gridCol w:w="2493"/>
        <w:gridCol w:w="2493"/>
      </w:tblGrid>
      <w:tr>
        <w:tc>
          <w:tcPr>
            <w:tcW w:type="dxa" w:w="1247"/>
            <w:shd w:val="clear" w:color="auto" w:fill="1F4E79"/>
          </w:tcPr>
          <w:p>
            <w:r>
              <w:rPr>
                <w:b/>
                <w:color w:val="FFFFFF"/>
                <w:sz w:val="18"/>
              </w:rPr>
              <w:t>Fecha</w:t>
            </w:r>
          </w:p>
        </w:tc>
        <w:tc>
          <w:tcPr>
            <w:tcW w:type="dxa" w:w="1984"/>
            <w:shd w:val="clear" w:color="auto" w:fill="1F4E79"/>
          </w:tcPr>
          <w:p>
            <w:r>
              <w:rPr>
                <w:b/>
                <w:color w:val="FFFFFF"/>
                <w:sz w:val="18"/>
              </w:rPr>
              <w:t>Entidad</w:t>
            </w:r>
          </w:p>
        </w:tc>
        <w:tc>
          <w:tcPr>
            <w:tcW w:type="dxa" w:w="2268"/>
            <w:shd w:val="clear" w:color="auto" w:fill="1F4E79"/>
          </w:tcPr>
          <w:p>
            <w:r>
              <w:rPr>
                <w:b/>
                <w:color w:val="FFFFFF"/>
                <w:sz w:val="18"/>
              </w:rPr>
              <w:t>Norma</w:t>
            </w:r>
          </w:p>
        </w:tc>
        <w:tc>
          <w:tcPr>
            <w:tcW w:type="dxa" w:w="4139"/>
            <w:shd w:val="clear" w:color="auto" w:fill="1F4E79"/>
          </w:tcPr>
          <w:p>
            <w:r>
              <w:rPr>
                <w:b/>
                <w:color w:val="FFFFFF"/>
                <w:sz w:val="18"/>
              </w:rPr>
              <w:t>Sumilla</w:t>
            </w:r>
          </w:p>
        </w:tc>
      </w:tr>
      <w:tr>
        <w:tc>
          <w:tcPr>
            <w:tcW w:type="dxa" w:w="1247"/>
          </w:tcPr>
          <w:p>
            <w:r>
              <w:rPr>
                <w:sz w:val="18"/>
              </w:rPr>
              <w:t>07/09/2026</w:t>
            </w:r>
          </w:p>
        </w:tc>
        <w:tc>
          <w:tcPr>
            <w:tcW w:type="dxa" w:w="1984"/>
          </w:tcPr>
          <w:p>
            <w:r>
              <w:rPr>
                <w:sz w:val="18"/>
              </w:rPr>
              <w:t>EDUCACIÓN</w:t>
            </w:r>
          </w:p>
        </w:tc>
        <w:tc>
          <w:tcPr>
            <w:tcW w:type="dxa" w:w="2268"/>
          </w:tcPr>
          <w:p>
            <w:r>
              <w:rPr>
                <w:sz w:val="18"/>
              </w:rPr>
            </w:r>
            <w:hyperlink r:id="rId12">
              <w:r>
                <w:rPr>
                  <w:color w:val="0563C1"/>
                  <w:u w:val="single"/>
                </w:rPr>
                <w:t>RESOLUCIÓN MINISTERIAL  N° 523-2026-MINEDU</w:t>
              </w:r>
            </w:hyperlink>
          </w:p>
        </w:tc>
        <w:tc>
          <w:tcPr>
            <w:tcW w:type="dxa" w:w="4139"/>
          </w:tcPr>
          <w:p>
            <w:r>
              <w:rPr>
                <w:sz w:val="18"/>
              </w:rPr>
              <w:t>Delegan temporalmente en la Unidad de Planificación y Presupuesto de la Oficina de Planificación Estratégica y Presupuesto el ejercicio de la función de otorgar la certificación del crédito presupuestario correspondiente a las Unidades Ejecutoras que se encuentren en el ámbito de competencia atribuida a la Oficina de Contabilidad y Control Previo de la Oficina General de Administración</w:t>
            </w:r>
          </w:p>
        </w:tc>
      </w:tr>
    </w:tbl>
    <w:p/>
    <w:p>
      <w:pPr>
        <w:pStyle w:val="Heading3"/>
      </w:pPr>
      <w:r>
        <w:t>RESOLUCIÓN MINISTERIAL  N° 523-2026-MINEDU</w:t>
      </w:r>
    </w:p>
    <w:p>
      <w:r>
        <w:rPr>
          <w:b/>
        </w:rPr>
        <w:t xml:space="preserve">Entidad: </w:t>
      </w:r>
      <w:r>
        <w:t xml:space="preserve">EDUCACIÓN   </w:t>
      </w:r>
      <w:r>
        <w:rPr>
          <w:b/>
        </w:rPr>
        <w:t xml:space="preserve">Fecha: </w:t>
      </w:r>
      <w:r>
        <w:t>07/09/2026</w:t>
      </w:r>
    </w:p>
    <w:p>
      <w:r>
        <w:rPr>
          <w:b/>
        </w:rPr>
        <w:t xml:space="preserve">Temas: </w:t>
      </w:r>
      <w:r>
        <w:t>Normatividad presupuestal</w:t>
      </w:r>
    </w:p>
    <w:p>
      <w:r>
        <w:rPr>
          <w:b/>
        </w:rPr>
        <w:t xml:space="preserve">Sumilla: </w:t>
      </w:r>
      <w:r>
        <w:t>Delegan temporalmente en la Unidad de Planificación y Presupuesto de la Oficina de Planificación Estratégica y Presupuesto el ejercicio de la función de otorgar la certificación del crédito presupuestario correspondiente a las Unidades Ejecutoras que se encuentren en el ámbito de competencia atribuida a la Oficina de Contabilidad y Control Previo de la Oficina General de Administración</w:t>
      </w:r>
    </w:p>
    <w:p>
      <w:r>
        <w:rPr>
          <w:b/>
        </w:rPr>
        <w:t xml:space="preserve">Dispone: </w:t>
      </w:r>
      <w:r>
        <w:t>Artículo 1.- Delegación temporal del ejercicio de la función de otorgar la certificación del crédito presupuestario 1.1 Delegar temporalmente en la Unidad de Planificación y Presupuesto de la Oficina de Planificación Estratégica y Presupuesto el ejercicio de la función de otorgar la certificación del crédito presupuestario correspondiente a las Unidades Ejecutoras que se encuentren en el ámbito de competencia atribuida a la Oficina de Contabilidad y Control Previo de la Oficina General de Administración conforme al literal d) del artículo 76 del Reglamento de Organización y Funciones del Ministerio de Educación, aprobado mediante Decreto Supremo N° 001-2015-MINEDU. 1.2 La delegación no…</w:t>
      </w:r>
    </w:p>
    <w:p>
      <w:hyperlink r:id="rId12">
        <w:r>
          <w:rPr>
            <w:color w:val="0563C1"/>
            <w:u w:val="single"/>
          </w:rPr>
          <w:t>Ver texto completo</w:t>
        </w:r>
      </w:hyperlink>
      <w:r>
        <w:t xml:space="preserve">   </w:t>
      </w:r>
      <w:hyperlink r:id="rId13">
        <w:r>
          <w:rPr>
            <w:color w:val="0563C1"/>
            <w:u w:val="single"/>
          </w:rPr>
          <w:t>Ver en El Peruano</w:t>
        </w:r>
      </w:hyperlink>
      <w:r>
        <w:t xml:space="preserve">   </w:t>
      </w:r>
      <w:hyperlink r:id="rId14">
        <w:r>
          <w:rPr>
            <w:color w:val="0563C1"/>
            <w:u w:val="single"/>
          </w:rPr>
          <w:t>PDF</w:t>
        </w:r>
      </w:hyperlink>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usquedas.elperuano.pe/api/visor_html/2551454-1" TargetMode="External"/><Relationship Id="rId10" Type="http://schemas.openxmlformats.org/officeDocument/2006/relationships/hyperlink" Target="https://busquedas.elperuano.pe/dispositivo/NL/2551454-1" TargetMode="External"/><Relationship Id="rId11" Type="http://schemas.openxmlformats.org/officeDocument/2006/relationships/hyperlink" Target="https://busquedas.elperuano.pe/dispositivo/NL/2551454-1/pdf" TargetMode="External"/><Relationship Id="rId12" Type="http://schemas.openxmlformats.org/officeDocument/2006/relationships/hyperlink" Target="https://busquedas.elperuano.pe/api/visor_html/2551006-1" TargetMode="External"/><Relationship Id="rId13" Type="http://schemas.openxmlformats.org/officeDocument/2006/relationships/hyperlink" Target="https://busquedas.elperuano.pe/dispositivo/NL/2551006-1" TargetMode="External"/><Relationship Id="rId14" Type="http://schemas.openxmlformats.org/officeDocument/2006/relationships/hyperlink" Target="https://busquedas.elperuano.pe/dispositivo/NL/2551006-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