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Resumen de Normas Legales – Diario Oficial El Peruano</w:t>
      </w:r>
    </w:p>
    <w:p>
      <w:pPr>
        <w:jc w:val="center"/>
      </w:pPr>
      <w:r>
        <w:rPr>
          <w:b/>
        </w:rPr>
        <w:t>Periodo revisado: 10/09/2026</w:t>
        <w:br/>
      </w:r>
      <w:r>
        <w:t>Generado: 26/10/2026 10:19  ·  Fuente: diariooficial.elperuano.pe</w:t>
      </w:r>
    </w:p>
    <w:p>
      <w:pPr>
        <w:pStyle w:val="Heading1"/>
      </w:pPr>
      <w:r>
        <w:t>1. Resumen ejecutivo</w:t>
      </w:r>
    </w:p>
    <w:p>
      <w:r>
        <w:t>Se revisaron 133 normas publicadas en el periodo. 2 resultan de interés para la ATU por tratar sobre la entidad, la normatividad presupuestal o las inversiones.</w:t>
      </w:r>
    </w:p>
    <w:tbl>
      <w:tblPr>
        <w:tblStyle w:val="LightGrid-Accent1"/>
        <w:tblW w:type="auto" w:w="0"/>
        <w:tblLook w:firstColumn="1" w:firstRow="1" w:lastColumn="0" w:lastRow="0" w:noHBand="0" w:noVBand="1" w:val="04A0"/>
      </w:tblPr>
      <w:tblGrid>
        <w:gridCol w:w="4986"/>
        <w:gridCol w:w="4986"/>
      </w:tblGrid>
      <w:tr>
        <w:tc>
          <w:tcPr>
            <w:tcW w:type="dxa" w:w="4986"/>
          </w:tcPr>
          <w:p>
            <w:r>
              <w:t>Tema</w:t>
            </w:r>
          </w:p>
        </w:tc>
        <w:tc>
          <w:tcPr>
            <w:tcW w:type="dxa" w:w="4986"/>
          </w:tcPr>
          <w:p>
            <w:r>
              <w:t>N.° de normas</w:t>
            </w:r>
          </w:p>
        </w:tc>
      </w:tr>
      <w:tr>
        <w:tc>
          <w:tcPr>
            <w:tcW w:type="dxa" w:w="4986"/>
          </w:tcPr>
          <w:p>
            <w:r>
              <w:t>ATU y transporte urbano</w:t>
            </w:r>
          </w:p>
        </w:tc>
        <w:tc>
          <w:tcPr>
            <w:tcW w:type="dxa" w:w="4986"/>
          </w:tcPr>
          <w:p>
            <w:r>
              <w:t>0</w:t>
            </w:r>
          </w:p>
        </w:tc>
      </w:tr>
      <w:tr>
        <w:tc>
          <w:tcPr>
            <w:tcW w:type="dxa" w:w="4986"/>
          </w:tcPr>
          <w:p>
            <w:r>
              <w:t>Normatividad presupuestal</w:t>
            </w:r>
          </w:p>
        </w:tc>
        <w:tc>
          <w:tcPr>
            <w:tcW w:type="dxa" w:w="4986"/>
          </w:tcPr>
          <w:p>
            <w:r>
              <w:t>1</w:t>
            </w:r>
          </w:p>
        </w:tc>
      </w:tr>
      <w:tr>
        <w:tc>
          <w:tcPr>
            <w:tcW w:type="dxa" w:w="4986"/>
          </w:tcPr>
          <w:p>
            <w:r>
              <w:t>Inversiones</w:t>
            </w:r>
          </w:p>
        </w:tc>
        <w:tc>
          <w:tcPr>
            <w:tcW w:type="dxa" w:w="4986"/>
          </w:tcPr>
          <w:p>
            <w:r>
              <w:t>1</w:t>
            </w:r>
          </w:p>
        </w:tc>
      </w:tr>
    </w:tbl>
    <w:p>
      <w:pPr>
        <w:pStyle w:val="Heading1"/>
      </w:pPr>
      <w:r>
        <w:t>2. Normatividad presupuestal (1)</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val="clear" w:color="auto" w:fill="1F4E79"/>
          </w:tcPr>
          <w:p>
            <w:r>
              <w:rPr>
                <w:b/>
                <w:color w:val="FFFFFF"/>
                <w:sz w:val="18"/>
              </w:rPr>
              <w:t>Fecha</w:t>
            </w:r>
          </w:p>
        </w:tc>
        <w:tc>
          <w:tcPr>
            <w:tcW w:type="dxa" w:w="1984"/>
            <w:shd w:val="clear" w:color="auto" w:fill="1F4E79"/>
          </w:tcPr>
          <w:p>
            <w:r>
              <w:rPr>
                <w:b/>
                <w:color w:val="FFFFFF"/>
                <w:sz w:val="18"/>
              </w:rPr>
              <w:t>Entidad</w:t>
            </w:r>
          </w:p>
        </w:tc>
        <w:tc>
          <w:tcPr>
            <w:tcW w:type="dxa" w:w="2268"/>
            <w:shd w:val="clear" w:color="auto" w:fill="1F4E79"/>
          </w:tcPr>
          <w:p>
            <w:r>
              <w:rPr>
                <w:b/>
                <w:color w:val="FFFFFF"/>
                <w:sz w:val="18"/>
              </w:rPr>
              <w:t>Norma</w:t>
            </w:r>
          </w:p>
        </w:tc>
        <w:tc>
          <w:tcPr>
            <w:tcW w:type="dxa" w:w="4139"/>
            <w:shd w:val="clear" w:color="auto" w:fill="1F4E79"/>
          </w:tcPr>
          <w:p>
            <w:r>
              <w:rPr>
                <w:b/>
                <w:color w:val="FFFFFF"/>
                <w:sz w:val="18"/>
              </w:rPr>
              <w:t>Sumilla</w:t>
            </w:r>
          </w:p>
        </w:tc>
      </w:tr>
      <w:tr>
        <w:tc>
          <w:tcPr>
            <w:tcW w:type="dxa" w:w="1247"/>
          </w:tcPr>
          <w:p>
            <w:r>
              <w:rPr>
                <w:sz w:val="18"/>
              </w:rPr>
              <w:t>10/09/2026 (Ext.)</w:t>
            </w:r>
          </w:p>
        </w:tc>
        <w:tc>
          <w:tcPr>
            <w:tcW w:type="dxa" w:w="1984"/>
          </w:tcPr>
          <w:p>
            <w:r>
              <w:rPr>
                <w:sz w:val="18"/>
              </w:rPr>
              <w:t>INTERIOR</w:t>
            </w:r>
          </w:p>
        </w:tc>
        <w:tc>
          <w:tcPr>
            <w:tcW w:type="dxa" w:w="2268"/>
          </w:tcPr>
          <w:p>
            <w:r>
              <w:rPr>
                <w:sz w:val="18"/>
              </w:rPr>
            </w:r>
            <w:hyperlink r:id="rId9">
              <w:r>
                <w:rPr>
                  <w:color w:val="0563C1"/>
                  <w:u w:val="single"/>
                </w:rPr>
                <w:t>RESOLUCIÓN MINISTERIAL N° 1335-2026-IN</w:t>
              </w:r>
            </w:hyperlink>
          </w:p>
        </w:tc>
        <w:tc>
          <w:tcPr>
            <w:tcW w:type="dxa" w:w="4139"/>
          </w:tcPr>
          <w:p>
            <w:r>
              <w:rPr>
                <w:sz w:val="18"/>
              </w:rPr>
              <w:t>Aprueban desagregación de recursos a favor del Pliego 007: M. del Interior para financiar la transferencia financiera que debe efectuar a la Caja de Pensiones Militar Policial (CPMP) para el pago de las obligaciones previsionales en el Año Fiscal 2026</w:t>
            </w:r>
          </w:p>
        </w:tc>
      </w:tr>
    </w:tbl>
    <w:p/>
    <w:p>
      <w:pPr>
        <w:pStyle w:val="Heading3"/>
      </w:pPr>
      <w:r>
        <w:t>RESOLUCIÓN MINISTERIAL N° 1335-2026-IN</w:t>
      </w:r>
    </w:p>
    <w:p>
      <w:r>
        <w:rPr>
          <w:b/>
        </w:rPr>
        <w:t xml:space="preserve">Entidad: </w:t>
      </w:r>
      <w:r>
        <w:t xml:space="preserve">INTERIOR   </w:t>
      </w:r>
      <w:r>
        <w:rPr>
          <w:b/>
        </w:rPr>
        <w:t xml:space="preserve">Fecha: </w:t>
      </w:r>
      <w:r>
        <w:t>10/09/2026  (Edición Extraordinaria)</w:t>
      </w:r>
    </w:p>
    <w:p>
      <w:r>
        <w:rPr>
          <w:b/>
        </w:rPr>
        <w:t xml:space="preserve">Temas: </w:t>
      </w:r>
      <w:r>
        <w:t>Normatividad presupuestal</w:t>
      </w:r>
    </w:p>
    <w:p>
      <w:r>
        <w:rPr>
          <w:b/>
        </w:rPr>
        <w:t xml:space="preserve">Sumilla: </w:t>
      </w:r>
      <w:r>
        <w:t>Aprueban desagregación de recursos a favor del Pliego 007: M. del Interior para financiar la transferencia financiera que debe efectuar a la Caja de Pensiones Militar Policial (CPMP) para el pago de las obligaciones previsionales en el Año Fiscal 2026</w:t>
      </w:r>
    </w:p>
    <w:p>
      <w:hyperlink r:id="rId9">
        <w:r>
          <w:rPr>
            <w:color w:val="0563C1"/>
            <w:u w:val="single"/>
          </w:rPr>
          <w:t>Ver texto completo</w:t>
        </w:r>
      </w:hyperlink>
      <w:r>
        <w:t xml:space="preserve">   </w:t>
      </w:r>
      <w:hyperlink r:id="rId10">
        <w:r>
          <w:rPr>
            <w:color w:val="0563C1"/>
            <w:u w:val="single"/>
          </w:rPr>
          <w:t>Ver en El Peruano</w:t>
        </w:r>
      </w:hyperlink>
      <w:r>
        <w:t xml:space="preserve">   </w:t>
      </w:r>
      <w:hyperlink r:id="rId11">
        <w:r>
          <w:rPr>
            <w:color w:val="0563C1"/>
            <w:u w:val="single"/>
          </w:rPr>
          <w:t>PDF</w:t>
        </w:r>
      </w:hyperlink>
    </w:p>
    <w:p>
      <w:pPr>
        <w:pStyle w:val="Heading1"/>
      </w:pPr>
      <w:r>
        <w:t>3. Inversiones (1)</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val="clear" w:color="auto" w:fill="1F4E79"/>
          </w:tcPr>
          <w:p>
            <w:r>
              <w:rPr>
                <w:b/>
                <w:color w:val="FFFFFF"/>
                <w:sz w:val="18"/>
              </w:rPr>
              <w:t>Fecha</w:t>
            </w:r>
          </w:p>
        </w:tc>
        <w:tc>
          <w:tcPr>
            <w:tcW w:type="dxa" w:w="1984"/>
            <w:shd w:val="clear" w:color="auto" w:fill="1F4E79"/>
          </w:tcPr>
          <w:p>
            <w:r>
              <w:rPr>
                <w:b/>
                <w:color w:val="FFFFFF"/>
                <w:sz w:val="18"/>
              </w:rPr>
              <w:t>Entidad</w:t>
            </w:r>
          </w:p>
        </w:tc>
        <w:tc>
          <w:tcPr>
            <w:tcW w:type="dxa" w:w="2268"/>
            <w:shd w:val="clear" w:color="auto" w:fill="1F4E79"/>
          </w:tcPr>
          <w:p>
            <w:r>
              <w:rPr>
                <w:b/>
                <w:color w:val="FFFFFF"/>
                <w:sz w:val="18"/>
              </w:rPr>
              <w:t>Norma</w:t>
            </w:r>
          </w:p>
        </w:tc>
        <w:tc>
          <w:tcPr>
            <w:tcW w:type="dxa" w:w="4139"/>
            <w:shd w:val="clear" w:color="auto" w:fill="1F4E79"/>
          </w:tcPr>
          <w:p>
            <w:r>
              <w:rPr>
                <w:b/>
                <w:color w:val="FFFFFF"/>
                <w:sz w:val="18"/>
              </w:rPr>
              <w:t>Sumilla</w:t>
            </w:r>
          </w:p>
        </w:tc>
      </w:tr>
      <w:tr>
        <w:tc>
          <w:tcPr>
            <w:tcW w:type="dxa" w:w="1247"/>
          </w:tcPr>
          <w:p>
            <w:r>
              <w:rPr>
                <w:sz w:val="18"/>
              </w:rPr>
              <w:t>10/09/2026</w:t>
            </w:r>
          </w:p>
        </w:tc>
        <w:tc>
          <w:tcPr>
            <w:tcW w:type="dxa" w:w="1984"/>
          </w:tcPr>
          <w:p>
            <w:r>
              <w:rPr>
                <w:sz w:val="18"/>
              </w:rPr>
              <w:t>TRANSPORTES Y COMUNICACIONES</w:t>
            </w:r>
          </w:p>
        </w:tc>
        <w:tc>
          <w:tcPr>
            <w:tcW w:type="dxa" w:w="2268"/>
          </w:tcPr>
          <w:p>
            <w:r>
              <w:rPr>
                <w:sz w:val="18"/>
              </w:rPr>
            </w:r>
            <w:hyperlink r:id="rId12">
              <w:r>
                <w:rPr>
                  <w:color w:val="0563C1"/>
                  <w:u w:val="single"/>
                </w:rPr>
                <w:t>RESOLUCIÓN MINISTERIAL  N° 485-2026-MTC/01</w:t>
              </w:r>
            </w:hyperlink>
          </w:p>
        </w:tc>
        <w:tc>
          <w:tcPr>
            <w:tcW w:type="dxa" w:w="4139"/>
          </w:tcPr>
          <w:p>
            <w:r>
              <w:rPr>
                <w:sz w:val="18"/>
              </w:rPr>
              <w:t>Aprueban Relación de Servicios que pueden ejecutarse bajo el régimen excepcional del mecanismo de Obras por Impuestos en el marco del Decreto de Urgencia N° 010-2026 así como sus respectivos contenidos mínimos</w:t>
            </w:r>
          </w:p>
        </w:tc>
      </w:tr>
    </w:tbl>
    <w:p/>
    <w:p>
      <w:pPr>
        <w:pStyle w:val="Heading3"/>
      </w:pPr>
      <w:r>
        <w:t>RESOLUCIÓN MINISTERIAL  N° 485-2026-MTC/01</w:t>
      </w:r>
    </w:p>
    <w:p>
      <w:r>
        <w:rPr>
          <w:b/>
        </w:rPr>
        <w:t xml:space="preserve">Entidad: </w:t>
      </w:r>
      <w:r>
        <w:t xml:space="preserve">TRANSPORTES Y COMUNICACIONES   </w:t>
      </w:r>
      <w:r>
        <w:rPr>
          <w:b/>
        </w:rPr>
        <w:t xml:space="preserve">Fecha: </w:t>
      </w:r>
      <w:r>
        <w:t>10/09/2026</w:t>
      </w:r>
    </w:p>
    <w:p>
      <w:r>
        <w:rPr>
          <w:b/>
        </w:rPr>
        <w:t xml:space="preserve">Temas: </w:t>
      </w:r>
      <w:r>
        <w:t>Inversiones</w:t>
      </w:r>
    </w:p>
    <w:p>
      <w:r>
        <w:rPr>
          <w:b/>
        </w:rPr>
        <w:t xml:space="preserve">Sumilla: </w:t>
      </w:r>
      <w:r>
        <w:t>Aprueban Relación de Servicios que pueden ejecutarse bajo el régimen excepcional del mecanismo de Obras por Impuestos en el marco del Decreto de Urgencia N° 010-2026 así como sus respectivos contenidos mínimos</w:t>
      </w:r>
    </w:p>
    <w:p>
      <w:r>
        <w:rPr>
          <w:b/>
        </w:rPr>
        <w:t xml:space="preserve">Dispone: </w:t>
      </w:r>
      <w:r>
        <w:t>Artículo 1.- Aprobación de la Relación de Servicios Aprobar la Relación de Servicios que pueden ejecutarse bajo el régimen excepcional del mecanismo de Obras por Impuestos en el marco del Decreto de Urgencia N° 010-2026, así como sus respectivos contenidos mínimos, conforme al detalle que obra en los Anexos I y II que forman parte integrante de la presente Resolución Ministerial. Artículo 2.- Remisión a PROINVERSIÓN Remitir copia de la presente Resolución Ministerial y sus Anexos I y II a la Agencia de Promoción de la Inversión Privada (PROINVERSIÓN), para los fines consiguientes, en el marco del seguimiento y difusión del mecanismo de Obras por Impuestos. Artículo 3.- Notificación…</w:t>
      </w:r>
    </w:p>
    <w:p>
      <w:hyperlink r:id="rId12">
        <w:r>
          <w:rPr>
            <w:color w:val="0563C1"/>
            <w:u w:val="single"/>
          </w:rPr>
          <w:t>Ver texto completo</w:t>
        </w:r>
      </w:hyperlink>
      <w:r>
        <w:t xml:space="preserve">   </w:t>
      </w:r>
      <w:hyperlink r:id="rId13">
        <w:r>
          <w:rPr>
            <w:color w:val="0563C1"/>
            <w:u w:val="single"/>
          </w:rPr>
          <w:t>Ver en El Peruano</w:t>
        </w:r>
      </w:hyperlink>
      <w:r>
        <w:t xml:space="preserve">   </w:t>
      </w:r>
      <w:hyperlink r:id="rId14">
        <w:r>
          <w:rPr>
            <w:color w:val="0563C1"/>
            <w:u w:val="single"/>
          </w:rPr>
          <w:t>PDF</w:t>
        </w:r>
      </w:hyperlink>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squedas.elperuano.pe/api/visor_html/2553357-1" TargetMode="External"/><Relationship Id="rId10" Type="http://schemas.openxmlformats.org/officeDocument/2006/relationships/hyperlink" Target="https://busquedas.elperuano.pe/dispositivo/EX/2553357-1" TargetMode="External"/><Relationship Id="rId11" Type="http://schemas.openxmlformats.org/officeDocument/2006/relationships/hyperlink" Target="https://busquedas.elperuano.pe/dispositivo/EX/2553357-1/pdf" TargetMode="External"/><Relationship Id="rId12" Type="http://schemas.openxmlformats.org/officeDocument/2006/relationships/hyperlink" Target="https://busquedas.elperuano.pe/api/visor_html/2552915-1" TargetMode="External"/><Relationship Id="rId13" Type="http://schemas.openxmlformats.org/officeDocument/2006/relationships/hyperlink" Target="https://busquedas.elperuano.pe/dispositivo/NL/2552915-1" TargetMode="External"/><Relationship Id="rId14" Type="http://schemas.openxmlformats.org/officeDocument/2006/relationships/hyperlink" Target="https://busquedas.elperuano.pe/dispositivo/NL/2552915-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