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19/09/2026</w:t>
        <w:br/>
      </w:r>
      <w:r>
        <w:t>Generado: 26/10/2026 10:09  ·  Fuente: diariooficial.elperuano.pe</w:t>
      </w:r>
    </w:p>
    <w:p>
      <w:pPr>
        <w:pStyle w:val="Heading1"/>
      </w:pPr>
      <w:r>
        <w:t>1. Resumen ejecutivo</w:t>
      </w:r>
    </w:p>
    <w:p>
      <w:r>
        <w:t>Se revisaron 108 normas publicadas en el periodo. 4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3</w:t>
            </w:r>
          </w:p>
        </w:tc>
      </w:tr>
      <w:tr>
        <w:tc>
          <w:tcPr>
            <w:tcW w:type="dxa" w:w="4986"/>
          </w:tcPr>
          <w:p>
            <w:r>
              <w:t>Inversiones</w:t>
            </w:r>
          </w:p>
        </w:tc>
        <w:tc>
          <w:tcPr>
            <w:tcW w:type="dxa" w:w="4986"/>
          </w:tcPr>
          <w:p>
            <w:r>
              <w:t>1</w:t>
            </w:r>
          </w:p>
        </w:tc>
      </w:tr>
    </w:tbl>
    <w:p>
      <w:pPr>
        <w:pStyle w:val="Heading1"/>
      </w:pPr>
      <w:r>
        <w:t>2. Normatividad presupuestal (3)</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19/09/2026</w:t>
            </w:r>
          </w:p>
        </w:tc>
        <w:tc>
          <w:tcPr>
            <w:tcW w:type="dxa" w:w="1984"/>
          </w:tcPr>
          <w:p>
            <w:r>
              <w:rPr>
                <w:sz w:val="18"/>
              </w:rPr>
              <w:t>ECONOMÍA Y FINANZAS</w:t>
            </w:r>
          </w:p>
        </w:tc>
        <w:tc>
          <w:tcPr>
            <w:tcW w:type="dxa" w:w="2268"/>
          </w:tcPr>
          <w:p>
            <w:r>
              <w:rPr>
                <w:sz w:val="18"/>
              </w:rPr>
            </w:r>
            <w:hyperlink r:id="rId9">
              <w:r>
                <w:rPr>
                  <w:color w:val="0563C1"/>
                  <w:u w:val="single"/>
                </w:rPr>
                <w:t>DECRETO SUPREMO  N° 195-2026-EF</w:t>
              </w:r>
            </w:hyperlink>
          </w:p>
        </w:tc>
        <w:tc>
          <w:tcPr>
            <w:tcW w:type="dxa" w:w="4139"/>
          </w:tcPr>
          <w:p>
            <w:r>
              <w:rPr>
                <w:sz w:val="18"/>
              </w:rPr>
              <w:t>Decreto Supremo que autoriza Transferencia de Partidas en el Presupuesto del Sector Público para el Año Fiscal 2026 a favor del Ministerio de Educación</w:t>
            </w:r>
          </w:p>
        </w:tc>
      </w:tr>
      <w:tr>
        <w:tc>
          <w:tcPr>
            <w:tcW w:type="dxa" w:w="1247"/>
          </w:tcPr>
          <w:p>
            <w:r>
              <w:rPr>
                <w:sz w:val="18"/>
              </w:rPr>
              <w:t>19/09/2026</w:t>
            </w:r>
          </w:p>
        </w:tc>
        <w:tc>
          <w:tcPr>
            <w:tcW w:type="dxa" w:w="1984"/>
          </w:tcPr>
          <w:p>
            <w:r>
              <w:rPr>
                <w:sz w:val="18"/>
              </w:rPr>
              <w:t>ECONOMÍA Y FINANZAS</w:t>
            </w:r>
          </w:p>
        </w:tc>
        <w:tc>
          <w:tcPr>
            <w:tcW w:type="dxa" w:w="2268"/>
          </w:tcPr>
          <w:p>
            <w:r>
              <w:rPr>
                <w:sz w:val="18"/>
              </w:rPr>
            </w:r>
            <w:hyperlink r:id="rId10">
              <w:r>
                <w:rPr>
                  <w:color w:val="0563C1"/>
                  <w:u w:val="single"/>
                </w:rPr>
                <w:t>DECRETO SUPREMO  N° 194-2026-EF</w:t>
              </w:r>
            </w:hyperlink>
          </w:p>
        </w:tc>
        <w:tc>
          <w:tcPr>
            <w:tcW w:type="dxa" w:w="4139"/>
          </w:tcPr>
          <w:p>
            <w:r>
              <w:rPr>
                <w:sz w:val="18"/>
              </w:rPr>
              <w:t>Decreto Supremo que autoriza Transferencia de Partidas en el Presupuesto del Sector Público para el Año Fiscal 2026 a favor de la Reserva de Contingencia</w:t>
            </w:r>
          </w:p>
        </w:tc>
      </w:tr>
      <w:tr>
        <w:tc>
          <w:tcPr>
            <w:tcW w:type="dxa" w:w="1247"/>
          </w:tcPr>
          <w:p>
            <w:r>
              <w:rPr>
                <w:sz w:val="18"/>
              </w:rPr>
              <w:t>19/09/2026</w:t>
            </w:r>
          </w:p>
        </w:tc>
        <w:tc>
          <w:tcPr>
            <w:tcW w:type="dxa" w:w="1984"/>
          </w:tcPr>
          <w:p>
            <w:r>
              <w:rPr>
                <w:sz w:val="18"/>
              </w:rPr>
              <w:t>GOBIERNO REGIONAL DE AMAZONAS</w:t>
            </w:r>
          </w:p>
        </w:tc>
        <w:tc>
          <w:tcPr>
            <w:tcW w:type="dxa" w:w="2268"/>
          </w:tcPr>
          <w:p>
            <w:r>
              <w:rPr>
                <w:sz w:val="18"/>
              </w:rPr>
            </w:r>
            <w:hyperlink r:id="rId11">
              <w:r>
                <w:rPr>
                  <w:color w:val="0563C1"/>
                  <w:u w:val="single"/>
                </w:rPr>
                <w:t>ACUERDO  N° 150-2026-GRA/CR-SO.</w:t>
              </w:r>
            </w:hyperlink>
          </w:p>
        </w:tc>
        <w:tc>
          <w:tcPr>
            <w:tcW w:type="dxa" w:w="4139"/>
          </w:tcPr>
          <w:p>
            <w:r>
              <w:rPr>
                <w:sz w:val="18"/>
              </w:rPr>
              <w:t>Aprueban reducción del Marco Presupuestal en la Fuente de Financiamiento Recursos Directamente Recaudados de la Unidades Ejecutoras del Gobierno Regional Amazonas</w:t>
            </w:r>
          </w:p>
        </w:tc>
      </w:tr>
    </w:tbl>
    <w:p/>
    <w:p>
      <w:pPr>
        <w:pStyle w:val="Heading3"/>
      </w:pPr>
      <w:r>
        <w:t>DECRETO SUPREMO  N° 195-2026-EF</w:t>
      </w:r>
    </w:p>
    <w:p>
      <w:r>
        <w:rPr>
          <w:b/>
        </w:rPr>
        <w:t xml:space="preserve">Entidad: </w:t>
      </w:r>
      <w:r>
        <w:t xml:space="preserve">ECONOMÍA Y FINANZAS   </w:t>
      </w:r>
      <w:r>
        <w:rPr>
          <w:b/>
        </w:rPr>
        <w:t xml:space="preserve">Fecha: </w:t>
      </w:r>
      <w:r>
        <w:t>19/09/2026</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del Ministerio de Educación</w:t>
      </w:r>
    </w:p>
    <w:p>
      <w:r>
        <w:rPr>
          <w:b/>
        </w:rPr>
        <w:t xml:space="preserve">Dispone: </w:t>
      </w:r>
      <w:r>
        <w:t>Artículo 1.- Objeto Se autoriza una Transferencia de Partidas en el Presupuesto del Sector Público para el Año Fiscal 2026, hasta por la suma de S/ 373 274 481,00 (TRESCIENTOS SETENTA Y TRES MILLONES DOSCIENTOS SETENTA Y CUATRO MIL CUATROCIENTOS OCHENTA Y UNO Y 00/100 SOLES), por la fuente de financiamiento Recursos Ordinarios, a favor del Ministerio de Educación, para financiar la ejecución de actividades de prevención y mitigación por precipitaciones pluviales y peligros asociados en el contexto del Fenómeno El Niño 2026-2027, orientadas a garantizar la continuidad del servicio educativo mediante la adquisición, transporte e instalación de mil quinientos (1 500) kits de infraestructura…</w:t>
      </w:r>
    </w:p>
    <w:p>
      <w:r>
        <w:rPr>
          <w:b/>
        </w:rPr>
        <w:t xml:space="preserve">Montos citados: </w:t>
      </w:r>
      <w:r>
        <w:t>S/ 220, S/ 373</w:t>
      </w:r>
    </w:p>
    <w:p>
      <w:hyperlink r:id="rId9">
        <w:r>
          <w:rPr>
            <w:color w:val="0563C1"/>
            <w:u w:val="single"/>
          </w:rPr>
          <w:t>Ver texto completo</w:t>
        </w:r>
      </w:hyperlink>
      <w:r>
        <w:t xml:space="preserve">   </w:t>
      </w:r>
      <w:hyperlink r:id="rId12">
        <w:r>
          <w:rPr>
            <w:color w:val="0563C1"/>
            <w:u w:val="single"/>
          </w:rPr>
          <w:t>Ver en El Peruano</w:t>
        </w:r>
      </w:hyperlink>
      <w:r>
        <w:t xml:space="preserve">   </w:t>
      </w:r>
      <w:hyperlink r:id="rId13">
        <w:r>
          <w:rPr>
            <w:color w:val="0563C1"/>
            <w:u w:val="single"/>
          </w:rPr>
          <w:t>PDF</w:t>
        </w:r>
      </w:hyperlink>
    </w:p>
    <w:p>
      <w:pPr>
        <w:pStyle w:val="Heading3"/>
      </w:pPr>
      <w:r>
        <w:t>DECRETO SUPREMO  N° 194-2026-EF</w:t>
      </w:r>
    </w:p>
    <w:p>
      <w:r>
        <w:rPr>
          <w:b/>
        </w:rPr>
        <w:t xml:space="preserve">Entidad: </w:t>
      </w:r>
      <w:r>
        <w:t xml:space="preserve">ECONOMÍA Y FINANZAS   </w:t>
      </w:r>
      <w:r>
        <w:rPr>
          <w:b/>
        </w:rPr>
        <w:t xml:space="preserve">Fecha: </w:t>
      </w:r>
      <w:r>
        <w:t>19/09/2026</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 la Reserva de Contingencia</w:t>
      </w:r>
    </w:p>
    <w:p>
      <w:r>
        <w:rPr>
          <w:b/>
        </w:rPr>
        <w:t xml:space="preserve">Dispone: </w:t>
      </w:r>
      <w:r>
        <w:t>Artículo 1.- Transferencia de Partidas a favor de la Reserva de Contingencia Se autoriza una Transferencia de Partidas en el Presupuesto del Sector Público para el Año Fiscal 2026, hasta por la suma de S/ 79 352 690,00 (SETENTA Y NUEVE MILLONES TRESCIENTOS CINCUENTA Y DOS MIL SEISCIENTOS NOVENTA Y 00/100 SOLES), por la fuente de financiamiento Recursos Ordinarios, a favor de la Reserva de Contingencia del Ministerio de Economía y Finanzas, con cargo a los recursos del presupuesto institucional de la Oficina de Normalización Previsional, en el marco de la Décima Cuarta Disposición Complementaria Final de la Ley Nº 32513, Ley de Presupuesto del Sector Público para el Año Fiscal 2026, de…</w:t>
      </w:r>
    </w:p>
    <w:p>
      <w:r>
        <w:rPr>
          <w:b/>
        </w:rPr>
        <w:t xml:space="preserve">Montos citados: </w:t>
      </w:r>
      <w:r>
        <w:t>S/ 79</w:t>
      </w:r>
    </w:p>
    <w:p>
      <w:hyperlink r:id="rId10">
        <w:r>
          <w:rPr>
            <w:color w:val="0563C1"/>
            <w:u w:val="single"/>
          </w:rPr>
          <w:t>Ver texto completo</w:t>
        </w:r>
      </w:hyperlink>
      <w:r>
        <w:t xml:space="preserve">   </w:t>
      </w:r>
      <w:hyperlink r:id="rId14">
        <w:r>
          <w:rPr>
            <w:color w:val="0563C1"/>
            <w:u w:val="single"/>
          </w:rPr>
          <w:t>Ver en El Peruano</w:t>
        </w:r>
      </w:hyperlink>
      <w:r>
        <w:t xml:space="preserve">   </w:t>
      </w:r>
      <w:hyperlink r:id="rId15">
        <w:r>
          <w:rPr>
            <w:color w:val="0563C1"/>
            <w:u w:val="single"/>
          </w:rPr>
          <w:t>PDF</w:t>
        </w:r>
      </w:hyperlink>
    </w:p>
    <w:p>
      <w:pPr>
        <w:pStyle w:val="Heading3"/>
      </w:pPr>
      <w:r>
        <w:t>ACUERDO  N° 150-2026-GRA/CR-SO.</w:t>
      </w:r>
    </w:p>
    <w:p>
      <w:r>
        <w:rPr>
          <w:b/>
        </w:rPr>
        <w:t xml:space="preserve">Entidad: </w:t>
      </w:r>
      <w:r>
        <w:t xml:space="preserve">GOBIERNO REGIONAL DE AMAZONAS   </w:t>
      </w:r>
      <w:r>
        <w:rPr>
          <w:b/>
        </w:rPr>
        <w:t xml:space="preserve">Fecha: </w:t>
      </w:r>
      <w:r>
        <w:t>19/09/2026</w:t>
      </w:r>
    </w:p>
    <w:p>
      <w:r>
        <w:rPr>
          <w:b/>
        </w:rPr>
        <w:t xml:space="preserve">Temas: </w:t>
      </w:r>
      <w:r>
        <w:t>Normatividad presupuestal</w:t>
      </w:r>
    </w:p>
    <w:p>
      <w:r>
        <w:rPr>
          <w:b/>
        </w:rPr>
        <w:t xml:space="preserve">Sumilla: </w:t>
      </w:r>
      <w:r>
        <w:t>Aprueban reducción del Marco Presupuestal en la Fuente de Financiamiento Recursos Directamente Recaudados de la Unidades Ejecutoras del Gobierno Regional Amazonas</w:t>
      </w:r>
    </w:p>
    <w:p>
      <w:r>
        <w:rPr>
          <w:b/>
        </w:rPr>
        <w:t xml:space="preserve">Dispone: </w:t>
      </w:r>
      <w:r>
        <w:t>Artículo 16 de la Ley N° 27867 - Ley Orgánica de Gobiernos Regionales y sus modificatorias, Derechos y obligaciones funcionales de los Consejeros Regionales, señala que, son derechos y obligaciones funcionales de los Consejeros Regionales: Fiscalizar los actos de los órganos de dirección y administración del Gobierno Regional u otros de interés general; Que, el Artículo 39° de la Ley Orgánica de los Gobiernos Regionales, Los Acuerdos del Consejo Regional expresan la decisión de este órgano sobre asuntos internos del Consejo Regional, de interés público, ciudadano o institucional o declara su voluntad de practicar un determinado acto o sujetarse a una conducta o norma institucional. Los…</w:t>
      </w:r>
    </w:p>
    <w:p>
      <w:r>
        <w:rPr>
          <w:b/>
        </w:rPr>
        <w:t xml:space="preserve">Montos citados: </w:t>
      </w:r>
      <w:r>
        <w:t>S/</w:t>
        <w:br/>
        <w:t>1, S/ 1</w:t>
      </w:r>
    </w:p>
    <w:p>
      <w:hyperlink r:id="rId11">
        <w:r>
          <w:rPr>
            <w:color w:val="0563C1"/>
            <w:u w:val="single"/>
          </w:rPr>
          <w:t>Ver texto completo</w:t>
        </w:r>
      </w:hyperlink>
      <w:r>
        <w:t xml:space="preserve">   </w:t>
      </w:r>
      <w:hyperlink r:id="rId16">
        <w:r>
          <w:rPr>
            <w:color w:val="0563C1"/>
            <w:u w:val="single"/>
          </w:rPr>
          <w:t>Ver en El Peruano</w:t>
        </w:r>
      </w:hyperlink>
      <w:r>
        <w:t xml:space="preserve">   </w:t>
      </w:r>
      <w:hyperlink r:id="rId17">
        <w:r>
          <w:rPr>
            <w:color w:val="0563C1"/>
            <w:u w:val="single"/>
          </w:rPr>
          <w:t>PDF</w:t>
        </w:r>
      </w:hyperlink>
    </w:p>
    <w:p>
      <w:pPr>
        <w:pStyle w:val="Heading1"/>
      </w:pPr>
      <w:r>
        <w:t>3.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19/09/2026</w:t>
            </w:r>
          </w:p>
        </w:tc>
        <w:tc>
          <w:tcPr>
            <w:tcW w:type="dxa" w:w="1984"/>
          </w:tcPr>
          <w:p>
            <w:r>
              <w:rPr>
                <w:sz w:val="18"/>
              </w:rPr>
              <w:t>AGENCIA DE PROMOCIÓN DE LA INVERSIÓN PRIVADA</w:t>
            </w:r>
          </w:p>
        </w:tc>
        <w:tc>
          <w:tcPr>
            <w:tcW w:type="dxa" w:w="2268"/>
          </w:tcPr>
          <w:p>
            <w:r>
              <w:rPr>
                <w:sz w:val="18"/>
              </w:rPr>
            </w:r>
            <w:hyperlink r:id="rId18">
              <w:r>
                <w:rPr>
                  <w:color w:val="0563C1"/>
                  <w:u w:val="single"/>
                </w:rPr>
                <w:t>RESOLUCIÓN  N° 00140-2026</w:t>
              </w:r>
            </w:hyperlink>
          </w:p>
        </w:tc>
        <w:tc>
          <w:tcPr>
            <w:tcW w:type="dxa" w:w="4139"/>
          </w:tcPr>
          <w:p>
            <w:r>
              <w:rPr>
                <w:sz w:val="18"/>
              </w:rPr>
              <w:t>Aprueban modificación del Manual de Clasificador de Cargos de la Agencia de Promoción de la Inversión Privada – PROINVERSIÓN</w:t>
            </w:r>
          </w:p>
        </w:tc>
      </w:tr>
    </w:tbl>
    <w:p/>
    <w:p>
      <w:pPr>
        <w:pStyle w:val="Heading3"/>
      </w:pPr>
      <w:r>
        <w:t>RESOLUCIÓN  N° 00140-2026</w:t>
      </w:r>
    </w:p>
    <w:p>
      <w:r>
        <w:rPr>
          <w:b/>
        </w:rPr>
        <w:t xml:space="preserve">Entidad: </w:t>
      </w:r>
      <w:r>
        <w:t xml:space="preserve">AGENCIA DE PROMOCIÓN DE LA INVERSIÓN PRIVADA   </w:t>
      </w:r>
      <w:r>
        <w:rPr>
          <w:b/>
        </w:rPr>
        <w:t xml:space="preserve">Fecha: </w:t>
      </w:r>
      <w:r>
        <w:t>19/09/2026</w:t>
      </w:r>
    </w:p>
    <w:p>
      <w:r>
        <w:rPr>
          <w:b/>
        </w:rPr>
        <w:t xml:space="preserve">Temas: </w:t>
      </w:r>
      <w:r>
        <w:t>Inversiones</w:t>
      </w:r>
    </w:p>
    <w:p>
      <w:r>
        <w:rPr>
          <w:b/>
        </w:rPr>
        <w:t xml:space="preserve">Sumilla: </w:t>
      </w:r>
      <w:r>
        <w:t>Aprueban modificación del Manual de Clasificador de Cargos de la Agencia de Promoción de la Inversión Privada – PROINVERSIÓN</w:t>
      </w:r>
    </w:p>
    <w:p>
      <w:r>
        <w:rPr>
          <w:b/>
        </w:rPr>
        <w:t xml:space="preserve">Dispone: </w:t>
      </w:r>
      <w:r>
        <w:t>Artículo 1.- Aprobar la modificación del Manual de Clasificador de Cargos de la Agencia de Promoción de la Inversión Privada – PROINVERSIÓN, aprobado mediante la Resolución de la Secretaría General Nº 152-2023, compendiado mediante la Resolución de la Secretaría General Nº 254-2025, y modificado mediante las Resoluciones de la Gerencia General Nº 059-2026, Nº 074-2026 y Nº 091-2026, en el extremo referido a los cargos estructurales contenidos en las fichas técnicas que, como anexo, forman parte integrante de la presente Resolución. Artículo 2.- Disponer la publicación de la presente Resolución y sus anexos en el Portal de Transparencia Estándar ( www.transparencia.gob.pe ) y en la sede…</w:t>
      </w:r>
    </w:p>
    <w:p>
      <w:hyperlink r:id="rId18">
        <w:r>
          <w:rPr>
            <w:color w:val="0563C1"/>
            <w:u w:val="single"/>
          </w:rPr>
          <w:t>Ver texto completo</w:t>
        </w:r>
      </w:hyperlink>
      <w:r>
        <w:t xml:space="preserve">   </w:t>
      </w:r>
      <w:hyperlink r:id="rId19">
        <w:r>
          <w:rPr>
            <w:color w:val="0563C1"/>
            <w:u w:val="single"/>
          </w:rPr>
          <w:t>Ver en El Peruano</w:t>
        </w:r>
      </w:hyperlink>
      <w:r>
        <w:t xml:space="preserve">   </w:t>
      </w:r>
      <w:hyperlink r:id="rId20">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56353-5" TargetMode="External"/><Relationship Id="rId10" Type="http://schemas.openxmlformats.org/officeDocument/2006/relationships/hyperlink" Target="https://busquedas.elperuano.pe/api/visor_html/2556348-1" TargetMode="External"/><Relationship Id="rId11" Type="http://schemas.openxmlformats.org/officeDocument/2006/relationships/hyperlink" Target="https://busquedas.elperuano.pe/api/visor_html/2552640-1" TargetMode="External"/><Relationship Id="rId12" Type="http://schemas.openxmlformats.org/officeDocument/2006/relationships/hyperlink" Target="https://busquedas.elperuano.pe/dispositivo/NL/2556353-5" TargetMode="External"/><Relationship Id="rId13" Type="http://schemas.openxmlformats.org/officeDocument/2006/relationships/hyperlink" Target="https://busquedas.elperuano.pe/dispositivo/NL/2556353-5/pdf" TargetMode="External"/><Relationship Id="rId14" Type="http://schemas.openxmlformats.org/officeDocument/2006/relationships/hyperlink" Target="https://busquedas.elperuano.pe/dispositivo/NL/2556348-1" TargetMode="External"/><Relationship Id="rId15" Type="http://schemas.openxmlformats.org/officeDocument/2006/relationships/hyperlink" Target="https://busquedas.elperuano.pe/dispositivo/NL/2556348-1/pdf" TargetMode="External"/><Relationship Id="rId16" Type="http://schemas.openxmlformats.org/officeDocument/2006/relationships/hyperlink" Target="https://busquedas.elperuano.pe/dispositivo/NL/2552640-1" TargetMode="External"/><Relationship Id="rId17" Type="http://schemas.openxmlformats.org/officeDocument/2006/relationships/hyperlink" Target="https://busquedas.elperuano.pe/dispositivo/NL/2552640-1/pdf" TargetMode="External"/><Relationship Id="rId18" Type="http://schemas.openxmlformats.org/officeDocument/2006/relationships/hyperlink" Target="https://busquedas.elperuano.pe/api/visor_html/2556315-1" TargetMode="External"/><Relationship Id="rId19" Type="http://schemas.openxmlformats.org/officeDocument/2006/relationships/hyperlink" Target="https://busquedas.elperuano.pe/dispositivo/NL/2556315-1" TargetMode="External"/><Relationship Id="rId20" Type="http://schemas.openxmlformats.org/officeDocument/2006/relationships/hyperlink" Target="https://busquedas.elperuano.pe/dispositivo/NL/2556315-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