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22/09/2026</w:t>
        <w:br/>
      </w:r>
      <w:r>
        <w:t>Generado: 26/10/2026 10:10  ·  Fuente: diariooficial.elperuano.pe</w:t>
      </w:r>
    </w:p>
    <w:p>
      <w:pPr>
        <w:pStyle w:val="Heading1"/>
      </w:pPr>
      <w:r>
        <w:t>1. Resumen ejecutivo</w:t>
      </w:r>
    </w:p>
    <w:p>
      <w:r>
        <w:t>Se revisaron 89 normas publicadas en el periodo. 3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1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2</w:t>
            </w:r>
          </w:p>
        </w:tc>
      </w:tr>
    </w:tbl>
    <w:p/>
    <w:p>
      <w:r>
        <w:rPr>
          <w:b/>
          <w:color w:val="C00000"/>
        </w:rPr>
        <w:t>Atención – normas que mencionan a la ATU o al transporte urbano de Lima y Callao:</w:t>
      </w:r>
    </w:p>
    <w:p>
      <w:pPr>
        <w:pStyle w:val="ListBullet"/>
      </w:pPr>
      <w:r>
        <w:t>RESOLUCIÓN N° 220-2026-ATU/PE (AUTORIDAD DE TRANSPORTE URBANO PARA LIMA Y CALLAO): Designan Gerente General de la Autoridad de Transporte Urbano para Lima y Callao – ATU</w:t>
      </w:r>
    </w:p>
    <w:p>
      <w:pPr>
        <w:pStyle w:val="Heading1"/>
      </w:pPr>
      <w:r>
        <w:t>2. ATU y transporte urbano (1)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22/09/2026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AUTORIDAD DE TRANSPORTE URBANO PARA LIMA Y CALLAO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RESOLUCIÓN N° 220-2026-ATU/PE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Designan Gerente General de la Autoridad de Transporte Urbano para Lima y Callao – ATU</w:t>
            </w:r>
          </w:p>
        </w:tc>
      </w:tr>
    </w:tbl>
    <w:p/>
    <w:p>
      <w:pPr>
        <w:pStyle w:val="Heading3"/>
      </w:pPr>
      <w:r>
        <w:t>RESOLUCIÓN N° 220-2026-ATU/PE</w:t>
      </w:r>
    </w:p>
    <w:p>
      <w:r>
        <w:rPr>
          <w:b/>
        </w:rPr>
        <w:t xml:space="preserve">Entidad: </w:t>
      </w:r>
      <w:r>
        <w:t xml:space="preserve">AUTORIDAD DE TRANSPORTE URBANO PARA LIMA Y CALLAO   </w:t>
      </w:r>
      <w:r>
        <w:rPr>
          <w:b/>
        </w:rPr>
        <w:t xml:space="preserve">Fecha: </w:t>
      </w:r>
      <w:r>
        <w:t>22/09/2026  (Edición Extraordinaria)</w:t>
      </w:r>
    </w:p>
    <w:p>
      <w:r>
        <w:rPr>
          <w:b/>
        </w:rPr>
        <w:t xml:space="preserve">Temas: </w:t>
      </w:r>
      <w:r>
        <w:t>ATU y transporte urbano</w:t>
      </w:r>
    </w:p>
    <w:p>
      <w:r>
        <w:rPr>
          <w:b/>
        </w:rPr>
        <w:t xml:space="preserve">Sumilla: </w:t>
      </w:r>
      <w:r>
        <w:t>Designan Gerente General de la Autoridad de Transporte Urbano para Lima y Callao – ATU</w:t>
      </w:r>
    </w:p>
    <w:p>
      <w:r>
        <w:rPr>
          <w:b/>
        </w:rPr>
        <w:t xml:space="preserve">Dispone: </w:t>
      </w:r>
      <w:r>
        <w:t>Artículo 1 .- Designar al señor LUIS HERNÁN CONTRERAS BONILLA en el puesto de Gerente General, con Código AIRHSP Nº 000002, de la Autoridad de Transporte Urbano para Lima y Callao – ATU. Artículo 2 .- Notificar la presente resolución al señor LUIS HERNÁN CONTRERAS BONILLA y a la Oficina de Gestión de Recursos Humanos, para los fines pertinentes. Artículo 3 .- Disponer la publicación de la presente resolución en el Diario Oficial “El Peruano” y en la sede digital de la Autoridad de Transporte Urbano para Lima y Callao - ATU ( https://www.gob.pe/atu ). Regístrese, comuníquese y publíquese. DAVID AUGUSTO HERNÁNDEZ SALAZAR Presidente Ejecutivo Autoridad de Transporte Urbano para Lima y Callao -…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0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PDF</w:t>
        </w:r>
      </w:hyperlink>
    </w:p>
    <w:p>
      <w:pPr>
        <w:pStyle w:val="Heading1"/>
      </w:pPr>
      <w:r>
        <w:t>3. Inversiones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22/09/2026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AMBIENTE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2">
              <w:r>
                <w:rPr>
                  <w:color w:val="0563C1"/>
                  <w:u w:val="single"/>
                </w:rPr>
                <w:t>RESOLUCIÓN MINISTERIAL  N° D000318-2026-MINAM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Disponen la publicación del proyecto de Resolución Ministerial que modifica la Primera Actualización del Listado de Inclusión de los Proyectos de Inversión sujetos al SEIA aprobada mediante Resolución Ministerial N° 157-2011-MINAM respecto a los proyectos de inversión del Sector Saneamiento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22/09/2026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3">
              <w:r>
                <w:rPr>
                  <w:color w:val="0563C1"/>
                  <w:u w:val="single"/>
                </w:rPr>
                <w:t>DECRETO SUPREMO  N° 199-2026-EF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modifica el Reglamento del Decreto Legislativo Nº 1252 Decreto Legislativo que crea el Sistema Nacional de Programación Multianual y Gestión de Inversiones aprobado por Decreto Supremo N° 140-2026-EF</w:t>
            </w:r>
          </w:p>
        </w:tc>
      </w:tr>
    </w:tbl>
    <w:p/>
    <w:p>
      <w:pPr>
        <w:pStyle w:val="Heading3"/>
      </w:pPr>
      <w:r>
        <w:t>RESOLUCIÓN MINISTERIAL  N° D000318-2026-MINAM</w:t>
      </w:r>
    </w:p>
    <w:p>
      <w:r>
        <w:rPr>
          <w:b/>
        </w:rPr>
        <w:t xml:space="preserve">Entidad: </w:t>
      </w:r>
      <w:r>
        <w:t xml:space="preserve">AMBIENTE   </w:t>
      </w:r>
      <w:r>
        <w:rPr>
          <w:b/>
        </w:rPr>
        <w:t xml:space="preserve">Fecha: </w:t>
      </w:r>
      <w:r>
        <w:t>22/09/2026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Disponen la publicación del proyecto de Resolución Ministerial que modifica la Primera Actualización del Listado de Inclusión de los Proyectos de Inversión sujetos al SEIA aprobada mediante Resolución Ministerial N° 157-2011-MINAM respecto a los proyectos de inversión del Sector Saneamiento</w:t>
      </w:r>
    </w:p>
    <w:p>
      <w:r>
        <w:rPr>
          <w:b/>
        </w:rPr>
        <w:t xml:space="preserve">Dispone: </w:t>
      </w:r>
      <w:r>
        <w:t>Artículo 1.- Disponer la publicación del proyecto de “Resolución Ministerial que modifica la Primera Actualización del Listado de Inclusión de los Proyectos de Inversión sujetos al SEIA, aprobada mediante Resolución Ministerial N° 157-2011-MINAM, respecto a los proyectos de inversión del Sector Saneamiento”. Dicha publicación se realiza en la sede digital del Ministerio del Ambiente ( https://www.gob.pe/1024-consultas-publicas-de-proyectos-normativos-minam ), para recibir los comentarios, aportes u opiniones de los interesados, por un período mínimo de quince (15) días calendario, contados a partir del día siguiente de la publicación de la presente Resolución Ministerial en el Diario…</w:t>
      </w:r>
    </w:p>
    <w:p>
      <w:hyperlink r:id="rId12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5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DECRETO SUPREMO  N° 199-2026-EF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22/09/2026</w:t>
      </w:r>
    </w:p>
    <w:p>
      <w:r>
        <w:rPr>
          <w:b/>
        </w:rPr>
        <w:t xml:space="preserve">Temas: </w:t>
      </w:r>
      <w:r>
        <w:t>Inversiones</w:t>
      </w:r>
    </w:p>
    <w:p>
      <w:r>
        <w:rPr>
          <w:b/>
        </w:rPr>
        <w:t xml:space="preserve">Sumilla: </w:t>
      </w:r>
      <w:r>
        <w:t>Decreto Supremo que modifica el Reglamento del Decreto Legislativo Nº 1252 Decreto Legislativo que crea el Sistema Nacional de Programación Multianual y Gestión de Inversiones aprobado por Decreto Supremo N° 140-2026-EF</w:t>
      </w:r>
    </w:p>
    <w:p>
      <w:r>
        <w:rPr>
          <w:b/>
        </w:rPr>
        <w:t xml:space="preserve">Dispone: </w:t>
      </w:r>
      <w:r>
        <w:t>Artículo 1.- Modificación de la Tercera Disposición Complementaria Final del Reglamento del Decreto Legislativo N° 1252 Se modifica la Tercera Disposición Complementaria Final del Reglamento del Decreto Legislativo N° 1252, Decreto Legislativo que crea el Sistema Nacional de Programación Multianual y Gestión de Inversiones, aprobado mediante Decreto Supremo N° 140-2026-EF, en los siguientes términos: “DISPOSICIONES COMPLEMENTARIAS FINALES (…). Tercera. - Inversiones ante declaratorias de Estado de Emergencia Las inversiones a desarrollarse en ámbitos que cuentan con declaratoria de Estado de Emergencia conforme al numeral 1 del artículo 137 de la Constitución Política del Perú, incluyendo…</w:t>
      </w:r>
    </w:p>
    <w:p>
      <w:hyperlink r:id="rId13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6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7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57282-1" TargetMode="External"/><Relationship Id="rId10" Type="http://schemas.openxmlformats.org/officeDocument/2006/relationships/hyperlink" Target="https://busquedas.elperuano.pe/dispositivo/EX/2557282-1" TargetMode="External"/><Relationship Id="rId11" Type="http://schemas.openxmlformats.org/officeDocument/2006/relationships/hyperlink" Target="https://busquedas.elperuano.pe/dispositivo/EX/2557282-1/pdf" TargetMode="External"/><Relationship Id="rId12" Type="http://schemas.openxmlformats.org/officeDocument/2006/relationships/hyperlink" Target="https://busquedas.elperuano.pe/api/visor_html/2556492-1" TargetMode="External"/><Relationship Id="rId13" Type="http://schemas.openxmlformats.org/officeDocument/2006/relationships/hyperlink" Target="https://busquedas.elperuano.pe/api/visor_html/2556846-2" TargetMode="External"/><Relationship Id="rId14" Type="http://schemas.openxmlformats.org/officeDocument/2006/relationships/hyperlink" Target="https://busquedas.elperuano.pe/dispositivo/NL/2556492-1" TargetMode="External"/><Relationship Id="rId15" Type="http://schemas.openxmlformats.org/officeDocument/2006/relationships/hyperlink" Target="https://busquedas.elperuano.pe/dispositivo/NL/2556492-1/pdf" TargetMode="External"/><Relationship Id="rId16" Type="http://schemas.openxmlformats.org/officeDocument/2006/relationships/hyperlink" Target="https://busquedas.elperuano.pe/dispositivo/NL/2556846-2" TargetMode="External"/><Relationship Id="rId17" Type="http://schemas.openxmlformats.org/officeDocument/2006/relationships/hyperlink" Target="https://busquedas.elperuano.pe/dispositivo/NL/2556846-2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