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Resumen de Normas Legales – Diario Oficial El Peruano</w:t>
      </w:r>
    </w:p>
    <w:p>
      <w:pPr>
        <w:jc w:val="center"/>
      </w:pPr>
      <w:r>
        <w:rPr>
          <w:b/>
        </w:rPr>
        <w:t>Periodo revisado: 25/09/2026</w:t>
        <w:br/>
      </w:r>
      <w:r>
        <w:t>Generado: 26/10/2026 10:10  ·  Fuente: diariooficial.elperuano.pe</w:t>
      </w:r>
    </w:p>
    <w:p>
      <w:pPr>
        <w:pStyle w:val="Heading1"/>
      </w:pPr>
      <w:r>
        <w:t>1. Resumen ejecutivo</w:t>
      </w:r>
    </w:p>
    <w:p>
      <w:r>
        <w:t>Se revisaron 104 normas publicadas en el periodo. 5 resultan de interés para la ATU por tratar sobre la entidad, la normatividad presupuestal o las inversiones.</w:t>
      </w:r>
    </w:p>
    <w:tbl>
      <w:tblPr>
        <w:tblStyle w:val="LightGrid-Accent1"/>
        <w:tblW w:type="auto" w:w="0"/>
        <w:tblLook w:firstColumn="1" w:firstRow="1" w:lastColumn="0" w:lastRow="0" w:noHBand="0" w:noVBand="1" w:val="04A0"/>
      </w:tblPr>
      <w:tblGrid>
        <w:gridCol w:w="4986"/>
        <w:gridCol w:w="4986"/>
      </w:tblGrid>
      <w:tr>
        <w:tc>
          <w:tcPr>
            <w:tcW w:type="dxa" w:w="4986"/>
          </w:tcPr>
          <w:p>
            <w:r>
              <w:t>Tema</w:t>
            </w:r>
          </w:p>
        </w:tc>
        <w:tc>
          <w:tcPr>
            <w:tcW w:type="dxa" w:w="4986"/>
          </w:tcPr>
          <w:p>
            <w:r>
              <w:t>N.° de normas</w:t>
            </w:r>
          </w:p>
        </w:tc>
      </w:tr>
      <w:tr>
        <w:tc>
          <w:tcPr>
            <w:tcW w:type="dxa" w:w="4986"/>
          </w:tcPr>
          <w:p>
            <w:r>
              <w:t>ATU y transporte urbano</w:t>
            </w:r>
          </w:p>
        </w:tc>
        <w:tc>
          <w:tcPr>
            <w:tcW w:type="dxa" w:w="4986"/>
          </w:tcPr>
          <w:p>
            <w:r>
              <w:t>0</w:t>
            </w:r>
          </w:p>
        </w:tc>
      </w:tr>
      <w:tr>
        <w:tc>
          <w:tcPr>
            <w:tcW w:type="dxa" w:w="4986"/>
          </w:tcPr>
          <w:p>
            <w:r>
              <w:t>Normatividad presupuestal</w:t>
            </w:r>
          </w:p>
        </w:tc>
        <w:tc>
          <w:tcPr>
            <w:tcW w:type="dxa" w:w="4986"/>
          </w:tcPr>
          <w:p>
            <w:r>
              <w:t>4</w:t>
            </w:r>
          </w:p>
        </w:tc>
      </w:tr>
      <w:tr>
        <w:tc>
          <w:tcPr>
            <w:tcW w:type="dxa" w:w="4986"/>
          </w:tcPr>
          <w:p>
            <w:r>
              <w:t>Inversiones</w:t>
            </w:r>
          </w:p>
        </w:tc>
        <w:tc>
          <w:tcPr>
            <w:tcW w:type="dxa" w:w="4986"/>
          </w:tcPr>
          <w:p>
            <w:r>
              <w:t>2</w:t>
            </w:r>
          </w:p>
        </w:tc>
      </w:tr>
    </w:tbl>
    <w:p>
      <w:pPr>
        <w:pStyle w:val="Heading1"/>
      </w:pPr>
      <w:r>
        <w:t>2. Normatividad presupuestal (4)</w:t>
      </w:r>
    </w:p>
    <w:tbl>
      <w:tblPr>
        <w:tblStyle w:val="TableGrid"/>
        <w:tblW w:type="auto" w:w="0"/>
        <w:tblLook w:firstColumn="1" w:firstRow="1" w:lastColumn="0" w:lastRow="0" w:noHBand="0" w:noVBand="1" w:val="04A0"/>
      </w:tblPr>
      <w:tblGrid>
        <w:gridCol w:w="2493"/>
        <w:gridCol w:w="2493"/>
        <w:gridCol w:w="2493"/>
        <w:gridCol w:w="2493"/>
      </w:tblGrid>
      <w:tr>
        <w:tc>
          <w:tcPr>
            <w:tcW w:type="dxa" w:w="1247"/>
            <w:shd w:val="clear" w:color="auto" w:fill="1F4E79"/>
          </w:tcPr>
          <w:p>
            <w:r>
              <w:rPr>
                <w:b/>
                <w:color w:val="FFFFFF"/>
                <w:sz w:val="18"/>
              </w:rPr>
              <w:t>Fecha</w:t>
            </w:r>
          </w:p>
        </w:tc>
        <w:tc>
          <w:tcPr>
            <w:tcW w:type="dxa" w:w="1984"/>
            <w:shd w:val="clear" w:color="auto" w:fill="1F4E79"/>
          </w:tcPr>
          <w:p>
            <w:r>
              <w:rPr>
                <w:b/>
                <w:color w:val="FFFFFF"/>
                <w:sz w:val="18"/>
              </w:rPr>
              <w:t>Entidad</w:t>
            </w:r>
          </w:p>
        </w:tc>
        <w:tc>
          <w:tcPr>
            <w:tcW w:type="dxa" w:w="2268"/>
            <w:shd w:val="clear" w:color="auto" w:fill="1F4E79"/>
          </w:tcPr>
          <w:p>
            <w:r>
              <w:rPr>
                <w:b/>
                <w:color w:val="FFFFFF"/>
                <w:sz w:val="18"/>
              </w:rPr>
              <w:t>Norma</w:t>
            </w:r>
          </w:p>
        </w:tc>
        <w:tc>
          <w:tcPr>
            <w:tcW w:type="dxa" w:w="4139"/>
            <w:shd w:val="clear" w:color="auto" w:fill="1F4E79"/>
          </w:tcPr>
          <w:p>
            <w:r>
              <w:rPr>
                <w:b/>
                <w:color w:val="FFFFFF"/>
                <w:sz w:val="18"/>
              </w:rPr>
              <w:t>Sumilla</w:t>
            </w:r>
          </w:p>
        </w:tc>
      </w:tr>
      <w:tr>
        <w:tc>
          <w:tcPr>
            <w:tcW w:type="dxa" w:w="1247"/>
          </w:tcPr>
          <w:p>
            <w:r>
              <w:rPr>
                <w:sz w:val="18"/>
              </w:rPr>
              <w:t>25/09/2026</w:t>
            </w:r>
          </w:p>
        </w:tc>
        <w:tc>
          <w:tcPr>
            <w:tcW w:type="dxa" w:w="1984"/>
          </w:tcPr>
          <w:p>
            <w:r>
              <w:rPr>
                <w:sz w:val="18"/>
              </w:rPr>
              <w:t>CONSEJO NACIONAL DE CIENCIA, TECNOLOGÍA E INNOVACIÓN TECNOLÓGICA</w:t>
            </w:r>
          </w:p>
        </w:tc>
        <w:tc>
          <w:tcPr>
            <w:tcW w:type="dxa" w:w="2268"/>
          </w:tcPr>
          <w:p>
            <w:r>
              <w:rPr>
                <w:sz w:val="18"/>
              </w:rPr>
            </w:r>
            <w:hyperlink r:id="rId9">
              <w:r>
                <w:rPr>
                  <w:color w:val="0563C1"/>
                  <w:u w:val="single"/>
                </w:rPr>
                <w:t>RESOLUCIÓN  N° 132-2026-CONCYTEC-P</w:t>
              </w:r>
            </w:hyperlink>
          </w:p>
        </w:tc>
        <w:tc>
          <w:tcPr>
            <w:tcW w:type="dxa" w:w="4139"/>
          </w:tcPr>
          <w:p>
            <w:r>
              <w:rPr>
                <w:sz w:val="18"/>
              </w:rPr>
              <w:t>Aprueban transferencias financieras a entidades públicas</w:t>
            </w:r>
          </w:p>
        </w:tc>
      </w:tr>
      <w:tr>
        <w:tc>
          <w:tcPr>
            <w:tcW w:type="dxa" w:w="1247"/>
          </w:tcPr>
          <w:p>
            <w:r>
              <w:rPr>
                <w:sz w:val="18"/>
              </w:rPr>
              <w:t>25/09/2026</w:t>
            </w:r>
          </w:p>
        </w:tc>
        <w:tc>
          <w:tcPr>
            <w:tcW w:type="dxa" w:w="1984"/>
          </w:tcPr>
          <w:p>
            <w:r>
              <w:rPr>
                <w:sz w:val="18"/>
              </w:rPr>
              <w:t>ECONOMÍA Y FINANZAS</w:t>
            </w:r>
          </w:p>
        </w:tc>
        <w:tc>
          <w:tcPr>
            <w:tcW w:type="dxa" w:w="2268"/>
          </w:tcPr>
          <w:p>
            <w:r>
              <w:rPr>
                <w:sz w:val="18"/>
              </w:rPr>
            </w:r>
            <w:hyperlink r:id="rId10">
              <w:r>
                <w:rPr>
                  <w:color w:val="0563C1"/>
                  <w:u w:val="single"/>
                </w:rPr>
                <w:t>DECRETO SUPREMO  N° 200-2026-EF</w:t>
              </w:r>
            </w:hyperlink>
          </w:p>
        </w:tc>
        <w:tc>
          <w:tcPr>
            <w:tcW w:type="dxa" w:w="4139"/>
          </w:tcPr>
          <w:p>
            <w:r>
              <w:rPr>
                <w:sz w:val="18"/>
              </w:rPr>
              <w:t>Decreto Supremo que autoriza Transferencia de Partidas en el Presupuesto del Sector Público para el Año Fiscal 2026 a favor de la Reserva de Contingencia y del Organismo Técnico de la Administración de los Servicios de Saneamiento</w:t>
            </w:r>
          </w:p>
        </w:tc>
      </w:tr>
      <w:tr>
        <w:tc>
          <w:tcPr>
            <w:tcW w:type="dxa" w:w="1247"/>
          </w:tcPr>
          <w:p>
            <w:r>
              <w:rPr>
                <w:sz w:val="18"/>
              </w:rPr>
              <w:t>25/09/2026</w:t>
            </w:r>
          </w:p>
        </w:tc>
        <w:tc>
          <w:tcPr>
            <w:tcW w:type="dxa" w:w="1984"/>
          </w:tcPr>
          <w:p>
            <w:r>
              <w:rPr>
                <w:sz w:val="18"/>
              </w:rPr>
              <w:t>ECONOMÍA Y FINANZAS</w:t>
            </w:r>
          </w:p>
        </w:tc>
        <w:tc>
          <w:tcPr>
            <w:tcW w:type="dxa" w:w="2268"/>
          </w:tcPr>
          <w:p>
            <w:r>
              <w:rPr>
                <w:sz w:val="18"/>
              </w:rPr>
            </w:r>
            <w:hyperlink r:id="rId11">
              <w:r>
                <w:rPr>
                  <w:color w:val="0563C1"/>
                  <w:u w:val="single"/>
                </w:rPr>
                <w:t>DECRETO SUPREMO  N° 201-2026-EF</w:t>
              </w:r>
            </w:hyperlink>
          </w:p>
        </w:tc>
        <w:tc>
          <w:tcPr>
            <w:tcW w:type="dxa" w:w="4139"/>
          </w:tcPr>
          <w:p>
            <w:r>
              <w:rPr>
                <w:sz w:val="18"/>
              </w:rPr>
              <w:t>Decreto Supremo que autoriza Transferencia de Partidas en el Presupuesto del Sector Público para el Año Fiscal 2026 a favor de diversos Gobiernos Regionales</w:t>
            </w:r>
          </w:p>
        </w:tc>
      </w:tr>
      <w:tr>
        <w:tc>
          <w:tcPr>
            <w:tcW w:type="dxa" w:w="1247"/>
          </w:tcPr>
          <w:p>
            <w:r>
              <w:rPr>
                <w:sz w:val="18"/>
              </w:rPr>
              <w:t>25/09/2026</w:t>
            </w:r>
          </w:p>
        </w:tc>
        <w:tc>
          <w:tcPr>
            <w:tcW w:type="dxa" w:w="1984"/>
          </w:tcPr>
          <w:p>
            <w:r>
              <w:rPr>
                <w:sz w:val="18"/>
              </w:rPr>
              <w:t>GOBIERNO REGIONAL DE ANCASH</w:t>
            </w:r>
          </w:p>
        </w:tc>
        <w:tc>
          <w:tcPr>
            <w:tcW w:type="dxa" w:w="2268"/>
          </w:tcPr>
          <w:p>
            <w:r>
              <w:rPr>
                <w:sz w:val="18"/>
              </w:rPr>
            </w:r>
            <w:hyperlink r:id="rId12">
              <w:r>
                <w:rPr>
                  <w:color w:val="0563C1"/>
                  <w:u w:val="single"/>
                </w:rPr>
                <w:t>ACUERDO  N° 171-2026-GRA/CR</w:t>
              </w:r>
            </w:hyperlink>
          </w:p>
        </w:tc>
        <w:tc>
          <w:tcPr>
            <w:tcW w:type="dxa" w:w="4139"/>
          </w:tcPr>
          <w:p>
            <w:r>
              <w:rPr>
                <w:sz w:val="18"/>
              </w:rPr>
              <w:t>Autorizan transferencia financiera a favor de Municipalidades Provinciales y Distritales del departamento de Áncash para el financiamiento de proyectos de inversión</w:t>
            </w:r>
          </w:p>
        </w:tc>
      </w:tr>
    </w:tbl>
    <w:p/>
    <w:p>
      <w:pPr>
        <w:pStyle w:val="Heading3"/>
      </w:pPr>
      <w:r>
        <w:t>RESOLUCIÓN  N° 132-2026-CONCYTEC-P</w:t>
      </w:r>
    </w:p>
    <w:p>
      <w:r>
        <w:rPr>
          <w:b/>
        </w:rPr>
        <w:t xml:space="preserve">Entidad: </w:t>
      </w:r>
      <w:r>
        <w:t xml:space="preserve">CONSEJO NACIONAL DE CIENCIA, TECNOLOGÍA E INNOVACIÓN TECNOLÓGICA   </w:t>
      </w:r>
      <w:r>
        <w:rPr>
          <w:b/>
        </w:rPr>
        <w:t xml:space="preserve">Fecha: </w:t>
      </w:r>
      <w:r>
        <w:t>25/09/2026</w:t>
      </w:r>
    </w:p>
    <w:p>
      <w:r>
        <w:rPr>
          <w:b/>
        </w:rPr>
        <w:t xml:space="preserve">Temas: </w:t>
      </w:r>
      <w:r>
        <w:t>Normatividad presupuestal</w:t>
      </w:r>
    </w:p>
    <w:p>
      <w:r>
        <w:rPr>
          <w:b/>
        </w:rPr>
        <w:t xml:space="preserve">Sumilla: </w:t>
      </w:r>
      <w:r>
        <w:t>Aprueban transferencias financieras a entidades públicas</w:t>
      </w:r>
    </w:p>
    <w:p>
      <w:r>
        <w:rPr>
          <w:b/>
        </w:rPr>
        <w:t xml:space="preserve">Dispone: </w:t>
      </w:r>
      <w:r>
        <w:t>Artículo 1.- Aprobar las transferencias financieras a entidades públicas, por la suma de S/ 11’697,985.00 (Once Millones Seiscientos Noventa y Siete Mil Novecientos Ochenta y Cinco y 00/100 Soles), en el marco de lo dispuesto por la Duodécima Disposición Complementaria Final de la Ley N° 31250, Ley del Sistema Nacional de Ciencia, Tecnología e Innovación, conforme al siguiente detalle: N ° Tipo Proyecto o Programa Denominación Institución N° de Convenio o Contrato Monto Total del desembolso S/ (En soles) 1 Transferencias financieras a entidades públicas Proyecto Doctorado en ciencias con mención en física UNIVERSIDAD NACIONAL DE INGENIERÍA PE501084296-2023-PROCIENCIA-BM 500,000.00 2…</w:t>
      </w:r>
    </w:p>
    <w:p>
      <w:r>
        <w:rPr>
          <w:b/>
        </w:rPr>
        <w:t xml:space="preserve">Montos citados: </w:t>
      </w:r>
      <w:r>
        <w:t>S/ 11</w:t>
      </w:r>
    </w:p>
    <w:p>
      <w:hyperlink r:id="rId9">
        <w:r>
          <w:rPr>
            <w:color w:val="0563C1"/>
            <w:u w:val="single"/>
          </w:rPr>
          <w:t>Ver texto completo</w:t>
        </w:r>
      </w:hyperlink>
      <w:r>
        <w:t xml:space="preserve">   </w:t>
      </w:r>
      <w:hyperlink r:id="rId13">
        <w:r>
          <w:rPr>
            <w:color w:val="0563C1"/>
            <w:u w:val="single"/>
          </w:rPr>
          <w:t>Ver en El Peruano</w:t>
        </w:r>
      </w:hyperlink>
      <w:r>
        <w:t xml:space="preserve">   </w:t>
      </w:r>
      <w:hyperlink r:id="rId14">
        <w:r>
          <w:rPr>
            <w:color w:val="0563C1"/>
            <w:u w:val="single"/>
          </w:rPr>
          <w:t>PDF</w:t>
        </w:r>
      </w:hyperlink>
    </w:p>
    <w:p>
      <w:pPr>
        <w:pStyle w:val="Heading3"/>
      </w:pPr>
      <w:r>
        <w:t>DECRETO SUPREMO  N° 200-2026-EF</w:t>
      </w:r>
    </w:p>
    <w:p>
      <w:r>
        <w:rPr>
          <w:b/>
        </w:rPr>
        <w:t xml:space="preserve">Entidad: </w:t>
      </w:r>
      <w:r>
        <w:t xml:space="preserve">ECONOMÍA Y FINANZAS   </w:t>
      </w:r>
      <w:r>
        <w:rPr>
          <w:b/>
        </w:rPr>
        <w:t xml:space="preserve">Fecha: </w:t>
      </w:r>
      <w:r>
        <w:t>25/09/2026</w:t>
      </w:r>
    </w:p>
    <w:p>
      <w:r>
        <w:rPr>
          <w:b/>
        </w:rPr>
        <w:t xml:space="preserve">Temas: </w:t>
      </w:r>
      <w:r>
        <w:t>Normatividad presupuestal</w:t>
      </w:r>
    </w:p>
    <w:p>
      <w:r>
        <w:rPr>
          <w:b/>
        </w:rPr>
        <w:t xml:space="preserve">Sumilla: </w:t>
      </w:r>
      <w:r>
        <w:t>Decreto Supremo que autoriza Transferencia de Partidas en el Presupuesto del Sector Público para el Año Fiscal 2026 a favor de la Reserva de Contingencia y del Organismo Técnico de la Administración de los Servicios de Saneamiento</w:t>
      </w:r>
    </w:p>
    <w:p>
      <w:r>
        <w:rPr>
          <w:b/>
        </w:rPr>
        <w:t xml:space="preserve">Dispone: </w:t>
      </w:r>
      <w:r>
        <w:t>Artículo 1.- Transferencia de Partidas a favor de la Reserva de Contingencia Se autoriza una Transferencia de Partidas en el Presupuesto del Sector Público para el Año Fiscal 2026, hasta por la suma de S/ 4 333 241,00 (CUATRO MILLONES TRESCIENTOS TREINTA Y TRES MIL DOSCIENTOS CUARENTA Y UNO Y 00/100 SOLES), por la fuente de financiamiento de Recursos Ordinarios, a favor de la Reserva de Contingencia del Ministerio de Economía y Finanzas, con cargo a los recursos del presupuesto institucional del Organismo Técnico de la Administración de los Servicios de Saneamiento, en el marco de lo establecido en la Décima Cuarta Disposición Complementaria Final de la Ley N° 32513, Ley de Presupuesto del…</w:t>
      </w:r>
    </w:p>
    <w:p>
      <w:r>
        <w:rPr>
          <w:b/>
        </w:rPr>
        <w:t xml:space="preserve">Montos citados: </w:t>
      </w:r>
      <w:r>
        <w:t>S/ 4</w:t>
      </w:r>
    </w:p>
    <w:p>
      <w:hyperlink r:id="rId10">
        <w:r>
          <w:rPr>
            <w:color w:val="0563C1"/>
            <w:u w:val="single"/>
          </w:rPr>
          <w:t>Ver texto completo</w:t>
        </w:r>
      </w:hyperlink>
      <w:r>
        <w:t xml:space="preserve">   </w:t>
      </w:r>
      <w:hyperlink r:id="rId15">
        <w:r>
          <w:rPr>
            <w:color w:val="0563C1"/>
            <w:u w:val="single"/>
          </w:rPr>
          <w:t>Ver en El Peruano</w:t>
        </w:r>
      </w:hyperlink>
      <w:r>
        <w:t xml:space="preserve">   </w:t>
      </w:r>
      <w:hyperlink r:id="rId16">
        <w:r>
          <w:rPr>
            <w:color w:val="0563C1"/>
            <w:u w:val="single"/>
          </w:rPr>
          <w:t>PDF</w:t>
        </w:r>
      </w:hyperlink>
    </w:p>
    <w:p>
      <w:pPr>
        <w:pStyle w:val="Heading3"/>
      </w:pPr>
      <w:r>
        <w:t>DECRETO SUPREMO  N° 201-2026-EF</w:t>
      </w:r>
    </w:p>
    <w:p>
      <w:r>
        <w:rPr>
          <w:b/>
        </w:rPr>
        <w:t xml:space="preserve">Entidad: </w:t>
      </w:r>
      <w:r>
        <w:t xml:space="preserve">ECONOMÍA Y FINANZAS   </w:t>
      </w:r>
      <w:r>
        <w:rPr>
          <w:b/>
        </w:rPr>
        <w:t xml:space="preserve">Fecha: </w:t>
      </w:r>
      <w:r>
        <w:t>25/09/2026</w:t>
      </w:r>
    </w:p>
    <w:p>
      <w:r>
        <w:rPr>
          <w:b/>
        </w:rPr>
        <w:t xml:space="preserve">Temas: </w:t>
      </w:r>
      <w:r>
        <w:t>Normatividad presupuestal</w:t>
      </w:r>
    </w:p>
    <w:p>
      <w:r>
        <w:rPr>
          <w:b/>
        </w:rPr>
        <w:t xml:space="preserve">Sumilla: </w:t>
      </w:r>
      <w:r>
        <w:t>Decreto Supremo que autoriza Transferencia de Partidas en el Presupuesto del Sector Público para el Año Fiscal 2026 a favor de diversos Gobiernos Regionales</w:t>
      </w:r>
    </w:p>
    <w:p>
      <w:r>
        <w:rPr>
          <w:b/>
        </w:rPr>
        <w:t xml:space="preserve">Dispone: </w:t>
      </w:r>
      <w:r>
        <w:t>Artículo 1.- Objeto 1.1 Se autoriza una Transferencia de Partidas en el Presupuesto del Sector Público para el Año Fiscal 2026, hasta por la suma de S/ 31 697 151,00 (TREINTA Y UN MILLONES SEISCIENTOS NOVENTA Y SIETE MIL CIENTO CINCUENTA Y UNO Y 00/100 SOLES), por la fuente de financiamiento Recursos Ordinarios, a favor de diversos gobiernos regionales, para financiar el costo diferencial que implica el pago de encargaturas correspondientes a la asignación por jornada de trabajo adicional y a la asignación por cargo para los profesores que temporalmente asuman cargos de responsabilidad, previstos en las áreas de desempeño laboral establecidas en el artículo 12 de la Ley N° 29944, Ley de…</w:t>
      </w:r>
    </w:p>
    <w:p>
      <w:r>
        <w:rPr>
          <w:b/>
        </w:rPr>
        <w:t xml:space="preserve">Montos citados: </w:t>
      </w:r>
      <w:r>
        <w:t>S/ 587, S/ 31</w:t>
      </w:r>
    </w:p>
    <w:p>
      <w:hyperlink r:id="rId11">
        <w:r>
          <w:rPr>
            <w:color w:val="0563C1"/>
            <w:u w:val="single"/>
          </w:rPr>
          <w:t>Ver texto completo</w:t>
        </w:r>
      </w:hyperlink>
      <w:r>
        <w:t xml:space="preserve">   </w:t>
      </w:r>
      <w:hyperlink r:id="rId17">
        <w:r>
          <w:rPr>
            <w:color w:val="0563C1"/>
            <w:u w:val="single"/>
          </w:rPr>
          <w:t>Ver en El Peruano</w:t>
        </w:r>
      </w:hyperlink>
      <w:r>
        <w:t xml:space="preserve">   </w:t>
      </w:r>
      <w:hyperlink r:id="rId18">
        <w:r>
          <w:rPr>
            <w:color w:val="0563C1"/>
            <w:u w:val="single"/>
          </w:rPr>
          <w:t>PDF</w:t>
        </w:r>
      </w:hyperlink>
    </w:p>
    <w:p>
      <w:pPr>
        <w:pStyle w:val="Heading3"/>
      </w:pPr>
      <w:r>
        <w:t>ACUERDO  N° 171-2026-GRA/CR</w:t>
      </w:r>
    </w:p>
    <w:p>
      <w:r>
        <w:rPr>
          <w:b/>
        </w:rPr>
        <w:t xml:space="preserve">Entidad: </w:t>
      </w:r>
      <w:r>
        <w:t xml:space="preserve">GOBIERNO REGIONAL DE ANCASH   </w:t>
      </w:r>
      <w:r>
        <w:rPr>
          <w:b/>
        </w:rPr>
        <w:t xml:space="preserve">Fecha: </w:t>
      </w:r>
      <w:r>
        <w:t>25/09/2026</w:t>
      </w:r>
    </w:p>
    <w:p>
      <w:r>
        <w:rPr>
          <w:b/>
        </w:rPr>
        <w:t xml:space="preserve">Temas: </w:t>
      </w:r>
      <w:r>
        <w:t>Normatividad presupuestal, Inversiones</w:t>
      </w:r>
    </w:p>
    <w:p>
      <w:r>
        <w:rPr>
          <w:b/>
        </w:rPr>
        <w:t xml:space="preserve">Sumilla: </w:t>
      </w:r>
      <w:r>
        <w:t>Autorizan transferencia financiera a favor de Municipalidades Provinciales y Distritales del departamento de Áncash para el financiamiento de proyectos de inversión</w:t>
      </w:r>
    </w:p>
    <w:p>
      <w:r>
        <w:rPr>
          <w:b/>
        </w:rPr>
        <w:t xml:space="preserve">Dispone: </w:t>
      </w:r>
      <w:r>
        <w:t>Artículo 13. Transferencias financieras permitidas durante el Año Fiscal 2026; 13.1. Se autoriza, en el presente Año Fiscal, la realización, de manera excepcional, de las siguientes transferencias financieras, conforme se detalla a continuación: (…), h) Las que se realicen para el financiamiento y cofinanciamiento de las inversiones en el marco del Sistema Nacional de Programación Multianual y Gestión de Inversiones y de los proyectos que no se encuentran bajo el ámbito de dicho Sistema Nacional, y el mantenimiento de carreteras y de infraestructura de saneamiento, entre los niveles de gobierno subnacional y de estos al Gobierno Nacional, previa suscripción del convenio respectivo. Las…</w:t>
      </w:r>
    </w:p>
    <w:p>
      <w:r>
        <w:rPr>
          <w:b/>
        </w:rPr>
        <w:t xml:space="preserve">Montos citados: </w:t>
      </w:r>
      <w:r>
        <w:t>S/ 150,000,000.00, S/ 27,926,739.00, S/ 41,440,207.00, S/ 98,946,459.00</w:t>
      </w:r>
    </w:p>
    <w:p>
      <w:hyperlink r:id="rId12">
        <w:r>
          <w:rPr>
            <w:color w:val="0563C1"/>
            <w:u w:val="single"/>
          </w:rPr>
          <w:t>Ver texto completo</w:t>
        </w:r>
      </w:hyperlink>
      <w:r>
        <w:t xml:space="preserve">   </w:t>
      </w:r>
      <w:hyperlink r:id="rId19">
        <w:r>
          <w:rPr>
            <w:color w:val="0563C1"/>
            <w:u w:val="single"/>
          </w:rPr>
          <w:t>Ver en El Peruano</w:t>
        </w:r>
      </w:hyperlink>
      <w:r>
        <w:t xml:space="preserve">   </w:t>
      </w:r>
      <w:hyperlink r:id="rId20">
        <w:r>
          <w:rPr>
            <w:color w:val="0563C1"/>
            <w:u w:val="single"/>
          </w:rPr>
          <w:t>PDF</w:t>
        </w:r>
      </w:hyperlink>
    </w:p>
    <w:p>
      <w:pPr>
        <w:pStyle w:val="Heading1"/>
      </w:pPr>
      <w:r>
        <w:t>3. Inversiones (1)</w:t>
      </w:r>
    </w:p>
    <w:tbl>
      <w:tblPr>
        <w:tblStyle w:val="TableGrid"/>
        <w:tblW w:type="auto" w:w="0"/>
        <w:tblLook w:firstColumn="1" w:firstRow="1" w:lastColumn="0" w:lastRow="0" w:noHBand="0" w:noVBand="1" w:val="04A0"/>
      </w:tblPr>
      <w:tblGrid>
        <w:gridCol w:w="2493"/>
        <w:gridCol w:w="2493"/>
        <w:gridCol w:w="2493"/>
        <w:gridCol w:w="2493"/>
      </w:tblGrid>
      <w:tr>
        <w:tc>
          <w:tcPr>
            <w:tcW w:type="dxa" w:w="1247"/>
            <w:shd w:val="clear" w:color="auto" w:fill="1F4E79"/>
          </w:tcPr>
          <w:p>
            <w:r>
              <w:rPr>
                <w:b/>
                <w:color w:val="FFFFFF"/>
                <w:sz w:val="18"/>
              </w:rPr>
              <w:t>Fecha</w:t>
            </w:r>
          </w:p>
        </w:tc>
        <w:tc>
          <w:tcPr>
            <w:tcW w:type="dxa" w:w="1984"/>
            <w:shd w:val="clear" w:color="auto" w:fill="1F4E79"/>
          </w:tcPr>
          <w:p>
            <w:r>
              <w:rPr>
                <w:b/>
                <w:color w:val="FFFFFF"/>
                <w:sz w:val="18"/>
              </w:rPr>
              <w:t>Entidad</w:t>
            </w:r>
          </w:p>
        </w:tc>
        <w:tc>
          <w:tcPr>
            <w:tcW w:type="dxa" w:w="2268"/>
            <w:shd w:val="clear" w:color="auto" w:fill="1F4E79"/>
          </w:tcPr>
          <w:p>
            <w:r>
              <w:rPr>
                <w:b/>
                <w:color w:val="FFFFFF"/>
                <w:sz w:val="18"/>
              </w:rPr>
              <w:t>Norma</w:t>
            </w:r>
          </w:p>
        </w:tc>
        <w:tc>
          <w:tcPr>
            <w:tcW w:type="dxa" w:w="4139"/>
            <w:shd w:val="clear" w:color="auto" w:fill="1F4E79"/>
          </w:tcPr>
          <w:p>
            <w:r>
              <w:rPr>
                <w:b/>
                <w:color w:val="FFFFFF"/>
                <w:sz w:val="18"/>
              </w:rPr>
              <w:t>Sumilla</w:t>
            </w:r>
          </w:p>
        </w:tc>
      </w:tr>
      <w:tr>
        <w:tc>
          <w:tcPr>
            <w:tcW w:type="dxa" w:w="1247"/>
          </w:tcPr>
          <w:p>
            <w:r>
              <w:rPr>
                <w:sz w:val="18"/>
              </w:rPr>
              <w:t>25/09/2026</w:t>
            </w:r>
          </w:p>
        </w:tc>
        <w:tc>
          <w:tcPr>
            <w:tcW w:type="dxa" w:w="1984"/>
          </w:tcPr>
          <w:p>
            <w:r>
              <w:rPr>
                <w:sz w:val="18"/>
              </w:rPr>
              <w:t>ORGANISMO SUPERVISOR DE INVERSIÓN PRIVADA EN TELECOMUNICACIONES</w:t>
            </w:r>
          </w:p>
        </w:tc>
        <w:tc>
          <w:tcPr>
            <w:tcW w:type="dxa" w:w="2268"/>
          </w:tcPr>
          <w:p>
            <w:r>
              <w:rPr>
                <w:sz w:val="18"/>
              </w:rPr>
            </w:r>
            <w:hyperlink r:id="rId21">
              <w:r>
                <w:rPr>
                  <w:color w:val="0563C1"/>
                  <w:u w:val="single"/>
                </w:rPr>
                <w:t>RESOLUCIÓN  N° 000122-2026-CD/OSIPTEL</w:t>
              </w:r>
            </w:hyperlink>
          </w:p>
        </w:tc>
        <w:tc>
          <w:tcPr>
            <w:tcW w:type="dxa" w:w="4139"/>
          </w:tcPr>
          <w:p>
            <w:r>
              <w:rPr>
                <w:sz w:val="18"/>
              </w:rPr>
              <w:t>Disponen publicar el Proyecto de Norma que modifica el Procedimiento de Emisión de Mandato para la Liberación de Interferencias asociadas a la prestación de servicios públicos de telecomunicaciones para la ejecución de obras de infraestructura</w:t>
            </w:r>
          </w:p>
        </w:tc>
      </w:tr>
    </w:tbl>
    <w:p/>
    <w:p>
      <w:pPr>
        <w:pStyle w:val="Heading3"/>
      </w:pPr>
      <w:r>
        <w:t>RESOLUCIÓN  N° 000122-2026-CD/OSIPTEL</w:t>
      </w:r>
    </w:p>
    <w:p>
      <w:r>
        <w:rPr>
          <w:b/>
        </w:rPr>
        <w:t xml:space="preserve">Entidad: </w:t>
      </w:r>
      <w:r>
        <w:t xml:space="preserve">ORGANISMO SUPERVISOR DE INVERSIÓN PRIVADA EN TELECOMUNICACIONES   </w:t>
      </w:r>
      <w:r>
        <w:rPr>
          <w:b/>
        </w:rPr>
        <w:t xml:space="preserve">Fecha: </w:t>
      </w:r>
      <w:r>
        <w:t>25/09/2026</w:t>
      </w:r>
    </w:p>
    <w:p>
      <w:r>
        <w:rPr>
          <w:b/>
        </w:rPr>
        <w:t xml:space="preserve">Temas: </w:t>
      </w:r>
      <w:r>
        <w:t>Inversiones</w:t>
      </w:r>
    </w:p>
    <w:p>
      <w:r>
        <w:rPr>
          <w:b/>
        </w:rPr>
        <w:t xml:space="preserve">Sumilla: </w:t>
      </w:r>
      <w:r>
        <w:t>Disponen publicar el Proyecto de Norma que modifica el Procedimiento de Emisión de Mandato para la Liberación de Interferencias asociadas a la prestación de servicios públicos de telecomunicaciones para la ejecución de obras de infraestructura</w:t>
      </w:r>
    </w:p>
    <w:p>
      <w:r>
        <w:rPr>
          <w:b/>
        </w:rPr>
        <w:t xml:space="preserve">Dispone: </w:t>
      </w:r>
      <w:r>
        <w:t>Artículo 1.- Aprobar la publicación para comentarios de los interesados del “Proyecto de Norma que modifica el Procedimiento de Emisión de Mandato para la Liberación de Interferencias asociadas a la prestación de servicios públicos de telecomunicaciones para la ejecución de obras de infraestructura”, que forma parte integrante de la presente Resolución. Artículo 2.- Encargar a la Oficina de Comunicaciones y Relaciones Institucionales del OSIPTEL disponer las acciones necesarias para la publicación de la presente Resolución en el diario oficial El Peruano; así como para que la presente Resolución conjuntamente con el Proyecto de Norma señalado en el artículo 1, su Exposición de Motivos y el…</w:t>
      </w:r>
    </w:p>
    <w:p>
      <w:hyperlink r:id="rId21">
        <w:r>
          <w:rPr>
            <w:color w:val="0563C1"/>
            <w:u w:val="single"/>
          </w:rPr>
          <w:t>Ver texto completo</w:t>
        </w:r>
      </w:hyperlink>
      <w:r>
        <w:t xml:space="preserve">   </w:t>
      </w:r>
      <w:hyperlink r:id="rId22">
        <w:r>
          <w:rPr>
            <w:color w:val="0563C1"/>
            <w:u w:val="single"/>
          </w:rPr>
          <w:t>Ver en El Peruano</w:t>
        </w:r>
      </w:hyperlink>
      <w:r>
        <w:t xml:space="preserve">   </w:t>
      </w:r>
      <w:hyperlink r:id="rId23">
        <w:r>
          <w:rPr>
            <w:color w:val="0563C1"/>
            <w:u w:val="single"/>
          </w:rPr>
          <w:t>PDF</w:t>
        </w:r>
      </w:hyperlink>
    </w:p>
    <w:sectPr w:rsidR="00FC693F" w:rsidRPr="0006063C" w:rsidSect="00034616">
      <w:pgSz w:w="12240" w:h="15840"/>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busquedas.elperuano.pe/api/visor_html/2558144-1" TargetMode="External"/><Relationship Id="rId10" Type="http://schemas.openxmlformats.org/officeDocument/2006/relationships/hyperlink" Target="https://busquedas.elperuano.pe/api/visor_html/2558275-1" TargetMode="External"/><Relationship Id="rId11" Type="http://schemas.openxmlformats.org/officeDocument/2006/relationships/hyperlink" Target="https://busquedas.elperuano.pe/api/visor_html/2558275-2" TargetMode="External"/><Relationship Id="rId12" Type="http://schemas.openxmlformats.org/officeDocument/2006/relationships/hyperlink" Target="https://busquedas.elperuano.pe/api/visor_html/2558266-1" TargetMode="External"/><Relationship Id="rId13" Type="http://schemas.openxmlformats.org/officeDocument/2006/relationships/hyperlink" Target="https://busquedas.elperuano.pe/dispositivo/NL/2558144-1" TargetMode="External"/><Relationship Id="rId14" Type="http://schemas.openxmlformats.org/officeDocument/2006/relationships/hyperlink" Target="https://busquedas.elperuano.pe/dispositivo/NL/2558144-1/pdf" TargetMode="External"/><Relationship Id="rId15" Type="http://schemas.openxmlformats.org/officeDocument/2006/relationships/hyperlink" Target="https://busquedas.elperuano.pe/dispositivo/NL/2558275-1" TargetMode="External"/><Relationship Id="rId16" Type="http://schemas.openxmlformats.org/officeDocument/2006/relationships/hyperlink" Target="https://busquedas.elperuano.pe/dispositivo/NL/2558275-1/pdf" TargetMode="External"/><Relationship Id="rId17" Type="http://schemas.openxmlformats.org/officeDocument/2006/relationships/hyperlink" Target="https://busquedas.elperuano.pe/dispositivo/NL/2558275-2" TargetMode="External"/><Relationship Id="rId18" Type="http://schemas.openxmlformats.org/officeDocument/2006/relationships/hyperlink" Target="https://busquedas.elperuano.pe/dispositivo/NL/2558275-2/pdf" TargetMode="External"/><Relationship Id="rId19" Type="http://schemas.openxmlformats.org/officeDocument/2006/relationships/hyperlink" Target="https://busquedas.elperuano.pe/dispositivo/NL/2558266-1" TargetMode="External"/><Relationship Id="rId20" Type="http://schemas.openxmlformats.org/officeDocument/2006/relationships/hyperlink" Target="https://busquedas.elperuano.pe/dispositivo/NL/2558266-1/pdf" TargetMode="External"/><Relationship Id="rId21" Type="http://schemas.openxmlformats.org/officeDocument/2006/relationships/hyperlink" Target="https://busquedas.elperuano.pe/api/visor_html/2557449-1" TargetMode="External"/><Relationship Id="rId22" Type="http://schemas.openxmlformats.org/officeDocument/2006/relationships/hyperlink" Target="https://busquedas.elperuano.pe/dispositivo/NL/2557449-1" TargetMode="External"/><Relationship Id="rId23" Type="http://schemas.openxmlformats.org/officeDocument/2006/relationships/hyperlink" Target="https://busquedas.elperuano.pe/dispositivo/NL/2557449-1/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