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Resumen de Normas Legales – Diario Oficial El Peruano</w:t>
      </w:r>
    </w:p>
    <w:p>
      <w:pPr>
        <w:jc w:val="center"/>
      </w:pPr>
      <w:r>
        <w:rPr>
          <w:b/>
        </w:rPr>
        <w:t>Periodo revisado: 04/10/2026</w:t>
        <w:br/>
      </w:r>
      <w:r>
        <w:t>Generado: 26/10/2026 10:22  ·  Fuente: diariooficial.elperuano.pe</w:t>
      </w:r>
    </w:p>
    <w:p>
      <w:pPr>
        <w:pStyle w:val="Heading1"/>
      </w:pPr>
      <w:r>
        <w:t>1. Resumen ejecutivo</w:t>
      </w:r>
    </w:p>
    <w:p>
      <w:r>
        <w:t>Se revisaron 25 normas publicadas en el periodo. 1 resultan de interés para la ATU por tratar sobre la entidad, la normatividad presupuestal o las inversiones.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Tema</w:t>
            </w:r>
          </w:p>
        </w:tc>
        <w:tc>
          <w:tcPr>
            <w:tcW w:type="dxa" w:w="4986"/>
          </w:tcPr>
          <w:p>
            <w:r>
              <w:t>N.° de normas</w:t>
            </w:r>
          </w:p>
        </w:tc>
      </w:tr>
      <w:tr>
        <w:tc>
          <w:tcPr>
            <w:tcW w:type="dxa" w:w="4986"/>
          </w:tcPr>
          <w:p>
            <w:r>
              <w:t>ATU y transporte urbano</w:t>
            </w:r>
          </w:p>
        </w:tc>
        <w:tc>
          <w:tcPr>
            <w:tcW w:type="dxa" w:w="4986"/>
          </w:tcPr>
          <w:p>
            <w:r>
              <w:t>0</w:t>
            </w:r>
          </w:p>
        </w:tc>
      </w:tr>
      <w:tr>
        <w:tc>
          <w:tcPr>
            <w:tcW w:type="dxa" w:w="4986"/>
          </w:tcPr>
          <w:p>
            <w:r>
              <w:t>Normatividad presupuestal</w:t>
            </w:r>
          </w:p>
        </w:tc>
        <w:tc>
          <w:tcPr>
            <w:tcW w:type="dxa" w:w="4986"/>
          </w:tcPr>
          <w:p>
            <w:r>
              <w:t>1</w:t>
            </w:r>
          </w:p>
        </w:tc>
      </w:tr>
      <w:tr>
        <w:tc>
          <w:tcPr>
            <w:tcW w:type="dxa" w:w="4986"/>
          </w:tcPr>
          <w:p>
            <w:r>
              <w:t>Inversiones</w:t>
            </w:r>
          </w:p>
        </w:tc>
        <w:tc>
          <w:tcPr>
            <w:tcW w:type="dxa" w:w="4986"/>
          </w:tcPr>
          <w:p>
            <w:r>
              <w:t>0</w:t>
            </w:r>
          </w:p>
        </w:tc>
      </w:tr>
    </w:tbl>
    <w:p>
      <w:pPr>
        <w:pStyle w:val="Heading1"/>
      </w:pPr>
      <w:r>
        <w:t>2. Normatividad presupuestal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24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198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Entidad</w:t>
            </w:r>
          </w:p>
        </w:tc>
        <w:tc>
          <w:tcPr>
            <w:tcW w:type="dxa" w:w="226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Norma</w:t>
            </w:r>
          </w:p>
        </w:tc>
        <w:tc>
          <w:tcPr>
            <w:tcW w:type="dxa" w:w="413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Sumilla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04/10/2026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ECONOMÍA Y FINANZAS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hyperlink r:id="rId9">
              <w:r>
                <w:rPr>
                  <w:color w:val="0563C1"/>
                  <w:u w:val="single"/>
                </w:rPr>
                <w:t>DECRETO SUPREMO  N° 211-2026-EF</w:t>
              </w:r>
            </w:hyperlink>
          </w:p>
        </w:tc>
        <w:tc>
          <w:tcPr>
            <w:tcW w:type="dxa" w:w="4139"/>
          </w:tcPr>
          <w:p>
            <w:r>
              <w:rPr>
                <w:sz w:val="18"/>
              </w:rPr>
              <w:t>Decreto Supremo que autoriza Transferencia de Partidas en el Presupuesto del Sector Público para el Año Fiscal 2026 a favor de entidades del gobierno nacional y gobiernos regionales y dicta otra disposición</w:t>
            </w:r>
          </w:p>
        </w:tc>
      </w:tr>
    </w:tbl>
    <w:p/>
    <w:p>
      <w:pPr>
        <w:pStyle w:val="Heading3"/>
      </w:pPr>
      <w:r>
        <w:t>DECRETO SUPREMO  N° 211-2026-EF</w:t>
      </w:r>
    </w:p>
    <w:p>
      <w:r>
        <w:rPr>
          <w:b/>
        </w:rPr>
        <w:t xml:space="preserve">Entidad: </w:t>
      </w:r>
      <w:r>
        <w:t xml:space="preserve">ECONOMÍA Y FINANZAS   </w:t>
      </w:r>
      <w:r>
        <w:rPr>
          <w:b/>
        </w:rPr>
        <w:t xml:space="preserve">Fecha: </w:t>
      </w:r>
      <w:r>
        <w:t>04/10/2026</w:t>
      </w:r>
    </w:p>
    <w:p>
      <w:r>
        <w:rPr>
          <w:b/>
        </w:rPr>
        <w:t xml:space="preserve">Temas: </w:t>
      </w:r>
      <w:r>
        <w:t>Normatividad presupuestal</w:t>
      </w:r>
    </w:p>
    <w:p>
      <w:r>
        <w:rPr>
          <w:b/>
        </w:rPr>
        <w:t xml:space="preserve">Sumilla: </w:t>
      </w:r>
      <w:r>
        <w:t>Decreto Supremo que autoriza Transferencia de Partidas en el Presupuesto del Sector Público para el Año Fiscal 2026 a favor de entidades del gobierno nacional y gobiernos regionales y dicta otra disposición</w:t>
      </w:r>
    </w:p>
    <w:p>
      <w:r>
        <w:rPr>
          <w:b/>
        </w:rPr>
        <w:t xml:space="preserve">Dispone: </w:t>
      </w:r>
      <w:r>
        <w:t>Artículo 1.- Objeto Se autoriza una Transferencia de Partidas en el Presupuesto del Sector Público para el Año Fiscal 2026, hasta por la suma de S/ 4 842 210,00 (CUATRO MILLONES OCHOCIENTOS CUARENTA Y DOS MIL DOSCIENTOS DIEZ Y 00/100 SOLES), por la fuente de financiamiento Recursos Ordinarios, a favor del Ministerio de Defensa, del Ministerio de la Mujer y Poblaciones Vulnerables, del Ministerio de Cultura, del Registro Nacional de Identificación y Estado Civil, del Gobierno Regional de Loreto, del Gobierno Regional de Puno y del Gobierno Regional de Ucayali, con cargo a los recursos del Programa de Alimentación Escolar (PAE), para financiar la continuidad de la operación y mantenimiento de…</w:t>
      </w:r>
    </w:p>
    <w:p>
      <w:r>
        <w:rPr>
          <w:b/>
        </w:rPr>
        <w:t xml:space="preserve">Montos citados: </w:t>
      </w:r>
      <w:r>
        <w:t>S/ 4</w:t>
      </w:r>
    </w:p>
    <w:p>
      <w:hyperlink r:id="rId9">
        <w:r>
          <w:rPr>
            <w:color w:val="0563C1"/>
            <w:u w:val="single"/>
          </w:rPr>
          <w:t>Ver texto completo</w:t>
        </w:r>
      </w:hyperlink>
      <w:r>
        <w:t xml:space="preserve">   </w:t>
      </w:r>
      <w:hyperlink r:id="rId10">
        <w:r>
          <w:rPr>
            <w:color w:val="0563C1"/>
            <w:u w:val="single"/>
          </w:rPr>
          <w:t>Ver en El Peruano</w:t>
        </w:r>
      </w:hyperlink>
      <w:r>
        <w:t xml:space="preserve">   </w:t>
      </w:r>
      <w:hyperlink r:id="rId11">
        <w:r>
          <w:rPr>
            <w:color w:val="0563C1"/>
            <w:u w:val="single"/>
          </w:rPr>
          <w:t>PDF</w:t>
        </w:r>
      </w:hyperlink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usquedas.elperuano.pe/api/visor_html/2561519-1" TargetMode="External"/><Relationship Id="rId10" Type="http://schemas.openxmlformats.org/officeDocument/2006/relationships/hyperlink" Target="https://busquedas.elperuano.pe/dispositivo/NL/2561519-1" TargetMode="External"/><Relationship Id="rId11" Type="http://schemas.openxmlformats.org/officeDocument/2006/relationships/hyperlink" Target="https://busquedas.elperuano.pe/dispositivo/NL/2561519-1/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