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Resumen de Normas Legales – Diario Oficial El Peruano</w:t>
      </w:r>
    </w:p>
    <w:p>
      <w:pPr>
        <w:jc w:val="center"/>
      </w:pPr>
      <w:r>
        <w:rPr>
          <w:b/>
        </w:rPr>
        <w:t>Periodo revisado: 07/10/2026</w:t>
        <w:br/>
      </w:r>
      <w:r>
        <w:t>Generado: 26/10/2026 10:23  ·  Fuente: diariooficial.elperuano.pe</w:t>
      </w:r>
    </w:p>
    <w:p>
      <w:pPr>
        <w:pStyle w:val="Heading1"/>
      </w:pPr>
      <w:r>
        <w:t>1. Resumen ejecutivo</w:t>
      </w:r>
    </w:p>
    <w:p>
      <w:r>
        <w:t>Se revisaron 103 normas publicadas en el periodo. 2 resultan de interés para la ATU por tratar sobre la entidad, la normatividad presupuestal o las inversiones.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Tema</w:t>
            </w:r>
          </w:p>
        </w:tc>
        <w:tc>
          <w:tcPr>
            <w:tcW w:type="dxa" w:w="4986"/>
          </w:tcPr>
          <w:p>
            <w:r>
              <w:t>N.° de normas</w:t>
            </w:r>
          </w:p>
        </w:tc>
      </w:tr>
      <w:tr>
        <w:tc>
          <w:tcPr>
            <w:tcW w:type="dxa" w:w="4986"/>
          </w:tcPr>
          <w:p>
            <w:r>
              <w:t>ATU y transporte urbano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Normatividad presupuestal</w:t>
            </w:r>
          </w:p>
        </w:tc>
        <w:tc>
          <w:tcPr>
            <w:tcW w:type="dxa" w:w="4986"/>
          </w:tcPr>
          <w:p>
            <w:r>
              <w:t>1</w:t>
            </w:r>
          </w:p>
        </w:tc>
      </w:tr>
      <w:tr>
        <w:tc>
          <w:tcPr>
            <w:tcW w:type="dxa" w:w="4986"/>
          </w:tcPr>
          <w:p>
            <w:r>
              <w:t>Inversiones</w:t>
            </w:r>
          </w:p>
        </w:tc>
        <w:tc>
          <w:tcPr>
            <w:tcW w:type="dxa" w:w="4986"/>
          </w:tcPr>
          <w:p>
            <w:r>
              <w:t>1</w:t>
            </w:r>
          </w:p>
        </w:tc>
      </w:tr>
    </w:tbl>
    <w:p>
      <w:pPr>
        <w:pStyle w:val="Heading1"/>
      </w:pPr>
      <w:r>
        <w:t>2. Normatividad presupuestal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07/10/2026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ECONOMÍA Y FINANZAS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9">
              <w:r>
                <w:rPr>
                  <w:color w:val="0563C1"/>
                  <w:u w:val="single"/>
                </w:rPr>
                <w:t>DECRETO SUPREMO  N° 213-2026-EF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Decreto Supremo que autoriza Transferencia de Partidas en el Presupuesto del Sector Público para el Año Fiscal 2026 a favor de la Reserva de Contingencia</w:t>
            </w:r>
          </w:p>
        </w:tc>
      </w:tr>
    </w:tbl>
    <w:p/>
    <w:p>
      <w:pPr>
        <w:pStyle w:val="Heading3"/>
      </w:pPr>
      <w:r>
        <w:t>DECRETO SUPREMO  N° 213-2026-EF</w:t>
      </w:r>
    </w:p>
    <w:p>
      <w:r>
        <w:rPr>
          <w:b/>
        </w:rPr>
        <w:t xml:space="preserve">Entidad: </w:t>
      </w:r>
      <w:r>
        <w:t xml:space="preserve">ECONOMÍA Y FINANZAS   </w:t>
      </w:r>
      <w:r>
        <w:rPr>
          <w:b/>
        </w:rPr>
        <w:t xml:space="preserve">Fecha: </w:t>
      </w:r>
      <w:r>
        <w:t>07/10/2026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Decreto Supremo que autoriza Transferencia de Partidas en el Presupuesto del Sector Público para el Año Fiscal 2026 a favor de la Reserva de Contingencia</w:t>
      </w:r>
    </w:p>
    <w:p>
      <w:r>
        <w:rPr>
          <w:b/>
        </w:rPr>
        <w:t xml:space="preserve">Dispone: </w:t>
      </w:r>
      <w:r>
        <w:t>Artículo 1.- Transferencia de Partidas a favor de la Reserva de Contingencia 1.1 Se autoriza una Transferencia de Partidas en el Presupuesto del Sector Público para el Año Fiscal 2026, hasta por la suma de S/ 110 169 048,00 (CIENTO DIEZ MILLONES CIENTO SESENTA Y NUEVE MIL CUARENTA Y OCHO Y 00/100 SOLES), por la fuente de financiamiento Recursos Ordinarios, a favor de la Reserva de Contingencia del Ministerio de Economía y Finanzas, con cargo a los recursos del presupuesto institucional de diversos pliegos del Gobierno Nacional, gobiernos regionales y gobiernos locales, en el marco de la Décima Cuarta Disposición Complementaria Final de la Ley Nº 32513, Ley de Presupuesto del Sector Público…</w:t>
      </w:r>
    </w:p>
    <w:p>
      <w:r>
        <w:rPr>
          <w:b/>
        </w:rPr>
        <w:t xml:space="preserve">Montos citados: </w:t>
      </w:r>
      <w:r>
        <w:t>S/ 110</w:t>
      </w:r>
    </w:p>
    <w:p>
      <w:hyperlink r:id="rId9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0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1">
        <w:r>
          <w:rPr>
            <w:color w:val="0563C1"/>
            <w:u w:val="single"/>
          </w:rPr>
          <w:t>PDF</w:t>
        </w:r>
      </w:hyperlink>
    </w:p>
    <w:p>
      <w:pPr>
        <w:pStyle w:val="Heading1"/>
      </w:pPr>
      <w:r>
        <w:t>3. Inversiones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07/10/2026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SERVICIO NACIONAL DE CERTIFICACIÓN AMBIENTAL PARA LAS INVERSIONES SOSTENIBLES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2">
              <w:r>
                <w:rPr>
                  <w:color w:val="0563C1"/>
                  <w:u w:val="single"/>
                </w:rPr>
                <w:t>RESOLUCIÓN  N° 00033-2026-SENACE-PE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Aprueban conformación mínima del equipo profesional multidisciplinario de consultoras ambientales para el subsector Pesca y Acuicultura</w:t>
            </w:r>
          </w:p>
        </w:tc>
      </w:tr>
    </w:tbl>
    <w:p/>
    <w:p>
      <w:pPr>
        <w:pStyle w:val="Heading3"/>
      </w:pPr>
      <w:r>
        <w:t>RESOLUCIÓN  N° 00033-2026-SENACE-PE</w:t>
      </w:r>
    </w:p>
    <w:p>
      <w:r>
        <w:rPr>
          <w:b/>
        </w:rPr>
        <w:t xml:space="preserve">Entidad: </w:t>
      </w:r>
      <w:r>
        <w:t xml:space="preserve">SERVICIO NACIONAL DE CERTIFICACIÓN AMBIENTAL PARA LAS INVERSIONES SOSTENIBLES   </w:t>
      </w:r>
      <w:r>
        <w:rPr>
          <w:b/>
        </w:rPr>
        <w:t xml:space="preserve">Fecha: </w:t>
      </w:r>
      <w:r>
        <w:t>07/10/2026</w:t>
      </w:r>
    </w:p>
    <w:p>
      <w:r>
        <w:rPr>
          <w:b/>
        </w:rPr>
        <w:t xml:space="preserve">Temas: </w:t>
      </w:r>
      <w:r>
        <w:t>Inversiones</w:t>
      </w:r>
    </w:p>
    <w:p>
      <w:r>
        <w:rPr>
          <w:b/>
        </w:rPr>
        <w:t xml:space="preserve">Sumilla: </w:t>
      </w:r>
      <w:r>
        <w:t>Aprueban conformación mínima del equipo profesional multidisciplinario de consultoras ambientales para el subsector Pesca y Acuicultura</w:t>
      </w:r>
    </w:p>
    <w:p>
      <w:r>
        <w:rPr>
          <w:b/>
        </w:rPr>
        <w:t xml:space="preserve">Dispone: </w:t>
      </w:r>
      <w:r>
        <w:t>Artículo 1.- Conformación mínima del equipo profesional multidisciplinario de consultoras ambientales para el subsector Pesca y Acuicultura 1.1 Aprobar la conformación mínima del equipo profesional multidisciplinario de las consultoras ambientales que requieran la inscripción o modificación de inscripción en el Registro Nacional de Consultoras Ambientales a cargo del Servicio Nacional de Certificación Ambiental para las Inversiones Sostenibles - Senace, para desarrollar actividades de elaboración de los instrumentos de gestión ambiental para proyectos de inversión en el subsector Pesca y Acuicultura, el cual debe estar conformado, como mínimo, por cinco (5) profesionales de las siguientes…</w:t>
      </w:r>
    </w:p>
    <w:p>
      <w:hyperlink r:id="rId12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3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4">
        <w:r>
          <w:rPr>
            <w:color w:val="0563C1"/>
            <w:u w:val="single"/>
          </w:rPr>
          <w:t>PDF</w:t>
        </w:r>
      </w:hyperlink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quedas.elperuano.pe/api/visor_html/2562303-2" TargetMode="External"/><Relationship Id="rId10" Type="http://schemas.openxmlformats.org/officeDocument/2006/relationships/hyperlink" Target="https://busquedas.elperuano.pe/dispositivo/NL/2562303-2" TargetMode="External"/><Relationship Id="rId11" Type="http://schemas.openxmlformats.org/officeDocument/2006/relationships/hyperlink" Target="https://busquedas.elperuano.pe/dispositivo/NL/2562303-2/pdf" TargetMode="External"/><Relationship Id="rId12" Type="http://schemas.openxmlformats.org/officeDocument/2006/relationships/hyperlink" Target="https://busquedas.elperuano.pe/api/visor_html/2562207-1" TargetMode="External"/><Relationship Id="rId13" Type="http://schemas.openxmlformats.org/officeDocument/2006/relationships/hyperlink" Target="https://busquedas.elperuano.pe/dispositivo/NL/2562207-1" TargetMode="External"/><Relationship Id="rId14" Type="http://schemas.openxmlformats.org/officeDocument/2006/relationships/hyperlink" Target="https://busquedas.elperuano.pe/dispositivo/NL/2562207-1/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