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Resumen de Normas Legales – Diario Oficial El Peruano</w:t>
      </w:r>
    </w:p>
    <w:p>
      <w:pPr>
        <w:jc w:val="center"/>
      </w:pPr>
      <w:r>
        <w:rPr>
          <w:b/>
        </w:rPr>
        <w:t>Periodo revisado: 08/10/2026</w:t>
        <w:br/>
      </w:r>
      <w:r>
        <w:t>Generado: 26/10/2026 10:23  ·  Fuente: diariooficial.elperuano.pe</w:t>
      </w:r>
    </w:p>
    <w:p>
      <w:pPr>
        <w:pStyle w:val="Heading1"/>
      </w:pPr>
      <w:r>
        <w:t>1. Resumen ejecutivo</w:t>
      </w:r>
    </w:p>
    <w:p>
      <w:r>
        <w:t>Se revisaron 61 normas publicadas en el periodo. 3 resultan de interés para la ATU por tratar sobre la entidad, la normatividad presupuestal o las inversiones.</w:t>
      </w:r>
    </w:p>
    <w:tbl>
      <w:tblPr>
        <w:tblStyle w:val="LightGrid-Accent1"/>
        <w:tblW w:type="auto" w:w="0"/>
        <w:tblLook w:firstColumn="1" w:firstRow="1" w:lastColumn="0" w:lastRow="0" w:noHBand="0" w:noVBand="1" w:val="04A0"/>
      </w:tblPr>
      <w:tblGrid>
        <w:gridCol w:w="4986"/>
        <w:gridCol w:w="4986"/>
      </w:tblGrid>
      <w:tr>
        <w:tc>
          <w:tcPr>
            <w:tcW w:type="dxa" w:w="4986"/>
          </w:tcPr>
          <w:p>
            <w:r>
              <w:t>Tema</w:t>
            </w:r>
          </w:p>
        </w:tc>
        <w:tc>
          <w:tcPr>
            <w:tcW w:type="dxa" w:w="4986"/>
          </w:tcPr>
          <w:p>
            <w:r>
              <w:t>N.° de normas</w:t>
            </w:r>
          </w:p>
        </w:tc>
      </w:tr>
      <w:tr>
        <w:tc>
          <w:tcPr>
            <w:tcW w:type="dxa" w:w="4986"/>
          </w:tcPr>
          <w:p>
            <w:r>
              <w:t>ATU y transporte urbano</w:t>
            </w:r>
          </w:p>
        </w:tc>
        <w:tc>
          <w:tcPr>
            <w:tcW w:type="dxa" w:w="4986"/>
          </w:tcPr>
          <w:p>
            <w:r>
              <w:t>1</w:t>
            </w:r>
          </w:p>
        </w:tc>
      </w:tr>
      <w:tr>
        <w:tc>
          <w:tcPr>
            <w:tcW w:type="dxa" w:w="4986"/>
          </w:tcPr>
          <w:p>
            <w:r>
              <w:t>Normatividad presupuestal</w:t>
            </w:r>
          </w:p>
        </w:tc>
        <w:tc>
          <w:tcPr>
            <w:tcW w:type="dxa" w:w="4986"/>
          </w:tcPr>
          <w:p>
            <w:r>
              <w:t>2</w:t>
            </w:r>
          </w:p>
        </w:tc>
      </w:tr>
      <w:tr>
        <w:tc>
          <w:tcPr>
            <w:tcW w:type="dxa" w:w="4986"/>
          </w:tcPr>
          <w:p>
            <w:r>
              <w:t>Inversiones</w:t>
            </w:r>
          </w:p>
        </w:tc>
        <w:tc>
          <w:tcPr>
            <w:tcW w:type="dxa" w:w="4986"/>
          </w:tcPr>
          <w:p>
            <w:r>
              <w:t>0</w:t>
            </w:r>
          </w:p>
        </w:tc>
      </w:tr>
    </w:tbl>
    <w:p/>
    <w:p>
      <w:r>
        <w:rPr>
          <w:b/>
          <w:color w:val="C00000"/>
        </w:rPr>
        <w:t>Atención – normas que mencionan a la ATU o al transporte urbano de Lima y Callao:</w:t>
      </w:r>
    </w:p>
    <w:p>
      <w:pPr>
        <w:pStyle w:val="ListBullet"/>
      </w:pPr>
      <w:r>
        <w:t>RESOLUCIÓN N° 231-2026-ATU/PE (AUTORIDAD DE TRANSPORTE URBANO PARA LIMA Y CALLAO): Designan Jefe de la Oficina de Administración de la Autoridad de Transporte Urbano para Lima y Callao - ATU</w:t>
      </w:r>
    </w:p>
    <w:p>
      <w:pPr>
        <w:pStyle w:val="Heading1"/>
      </w:pPr>
      <w:r>
        <w:t>2. ATU y transporte urbano (1)</w:t>
      </w:r>
    </w:p>
    <w:tbl>
      <w:tblPr>
        <w:tblStyle w:val="TableGrid"/>
        <w:tblW w:type="auto" w:w="0"/>
        <w:tblLook w:firstColumn="1" w:firstRow="1" w:lastColumn="0" w:lastRow="0" w:noHBand="0" w:noVBand="1" w:val="04A0"/>
      </w:tblPr>
      <w:tblGrid>
        <w:gridCol w:w="2493"/>
        <w:gridCol w:w="2493"/>
        <w:gridCol w:w="2493"/>
        <w:gridCol w:w="2493"/>
      </w:tblGrid>
      <w:tr>
        <w:tc>
          <w:tcPr>
            <w:tcW w:type="dxa" w:w="1247"/>
            <w:shd w:val="clear" w:color="auto" w:fill="1F4E79"/>
          </w:tcPr>
          <w:p>
            <w:r>
              <w:rPr>
                <w:b/>
                <w:color w:val="FFFFFF"/>
                <w:sz w:val="18"/>
              </w:rPr>
              <w:t>Fecha</w:t>
            </w:r>
          </w:p>
        </w:tc>
        <w:tc>
          <w:tcPr>
            <w:tcW w:type="dxa" w:w="1984"/>
            <w:shd w:val="clear" w:color="auto" w:fill="1F4E79"/>
          </w:tcPr>
          <w:p>
            <w:r>
              <w:rPr>
                <w:b/>
                <w:color w:val="FFFFFF"/>
                <w:sz w:val="18"/>
              </w:rPr>
              <w:t>Entidad</w:t>
            </w:r>
          </w:p>
        </w:tc>
        <w:tc>
          <w:tcPr>
            <w:tcW w:type="dxa" w:w="2268"/>
            <w:shd w:val="clear" w:color="auto" w:fill="1F4E79"/>
          </w:tcPr>
          <w:p>
            <w:r>
              <w:rPr>
                <w:b/>
                <w:color w:val="FFFFFF"/>
                <w:sz w:val="18"/>
              </w:rPr>
              <w:t>Norma</w:t>
            </w:r>
          </w:p>
        </w:tc>
        <w:tc>
          <w:tcPr>
            <w:tcW w:type="dxa" w:w="4139"/>
            <w:shd w:val="clear" w:color="auto" w:fill="1F4E79"/>
          </w:tcPr>
          <w:p>
            <w:r>
              <w:rPr>
                <w:b/>
                <w:color w:val="FFFFFF"/>
                <w:sz w:val="18"/>
              </w:rPr>
              <w:t>Sumilla</w:t>
            </w:r>
          </w:p>
        </w:tc>
      </w:tr>
      <w:tr>
        <w:tc>
          <w:tcPr>
            <w:tcW w:type="dxa" w:w="1247"/>
          </w:tcPr>
          <w:p>
            <w:r>
              <w:rPr>
                <w:sz w:val="18"/>
              </w:rPr>
              <w:t>08/10/2026 (Ext.)</w:t>
            </w:r>
          </w:p>
        </w:tc>
        <w:tc>
          <w:tcPr>
            <w:tcW w:type="dxa" w:w="1984"/>
          </w:tcPr>
          <w:p>
            <w:r>
              <w:rPr>
                <w:sz w:val="18"/>
              </w:rPr>
              <w:t>AUTORIDAD DE TRANSPORTE URBANO PARA LIMA Y CALLAO</w:t>
            </w:r>
          </w:p>
        </w:tc>
        <w:tc>
          <w:tcPr>
            <w:tcW w:type="dxa" w:w="2268"/>
          </w:tcPr>
          <w:p>
            <w:r>
              <w:rPr>
                <w:sz w:val="18"/>
              </w:rPr>
            </w:r>
            <w:hyperlink r:id="rId9">
              <w:r>
                <w:rPr>
                  <w:color w:val="0563C1"/>
                  <w:u w:val="single"/>
                </w:rPr>
                <w:t>RESOLUCIÓN N° 231-2026-ATU/PE</w:t>
              </w:r>
            </w:hyperlink>
          </w:p>
        </w:tc>
        <w:tc>
          <w:tcPr>
            <w:tcW w:type="dxa" w:w="4139"/>
          </w:tcPr>
          <w:p>
            <w:r>
              <w:rPr>
                <w:sz w:val="18"/>
              </w:rPr>
              <w:t>Designan Jefe de la Oficina de Administración de la Autoridad de Transporte Urbano para Lima y Callao - ATU</w:t>
            </w:r>
          </w:p>
        </w:tc>
      </w:tr>
    </w:tbl>
    <w:p/>
    <w:p>
      <w:pPr>
        <w:pStyle w:val="Heading3"/>
      </w:pPr>
      <w:r>
        <w:t>RESOLUCIÓN N° 231-2026-ATU/PE</w:t>
      </w:r>
    </w:p>
    <w:p>
      <w:r>
        <w:rPr>
          <w:b/>
        </w:rPr>
        <w:t xml:space="preserve">Entidad: </w:t>
      </w:r>
      <w:r>
        <w:t xml:space="preserve">AUTORIDAD DE TRANSPORTE URBANO PARA LIMA Y CALLAO   </w:t>
      </w:r>
      <w:r>
        <w:rPr>
          <w:b/>
        </w:rPr>
        <w:t xml:space="preserve">Fecha: </w:t>
      </w:r>
      <w:r>
        <w:t>08/10/2026  (Edición Extraordinaria)</w:t>
      </w:r>
    </w:p>
    <w:p>
      <w:r>
        <w:rPr>
          <w:b/>
        </w:rPr>
        <w:t xml:space="preserve">Temas: </w:t>
      </w:r>
      <w:r>
        <w:t>ATU y transporte urbano</w:t>
      </w:r>
    </w:p>
    <w:p>
      <w:r>
        <w:rPr>
          <w:b/>
        </w:rPr>
        <w:t xml:space="preserve">Sumilla: </w:t>
      </w:r>
      <w:r>
        <w:t>Designan Jefe de la Oficina de Administración de la Autoridad de Transporte Urbano para Lima y Callao - ATU</w:t>
      </w:r>
    </w:p>
    <w:p>
      <w:r>
        <w:rPr>
          <w:b/>
        </w:rPr>
        <w:t xml:space="preserve">Dispone: </w:t>
      </w:r>
      <w:r>
        <w:t>Artículo 1 .- Designar al señor JULIO CÉSAR DE LA ROCHA CORZO en el puesto de Jefe de la Oficina de Administración con Código AIRHSP Nº 000008 de la Autoridad de Transporte Urbano para Lima y Callao - ATU. Artículo 2 .- Notificar la presente resolución al señor JULIO CÉSAR DE LA ROCHA CORZO y a la Oficina de Gestión de Recursos Humanos, para los fines pertinentes. Artículo 3 .- Disponer la publicación de la presente resolución en el Diario Oficial “El Peruano” y en la sede digital de la Autoridad de Transporte Urbano para Lima y Callao - ATU ( https://www.gob.pe/atu ). Regístrese, comuníquese y publíquese. DAVID AUGUSTO HERNÁNDEZ SALAZAR Presidente Ejecutivo Autoridad de Transporte Urbano…</w:t>
      </w:r>
    </w:p>
    <w:p>
      <w:hyperlink r:id="rId9">
        <w:r>
          <w:rPr>
            <w:color w:val="0563C1"/>
            <w:u w:val="single"/>
          </w:rPr>
          <w:t>Ver texto completo</w:t>
        </w:r>
      </w:hyperlink>
      <w:r>
        <w:t xml:space="preserve">   </w:t>
      </w:r>
      <w:hyperlink r:id="rId10">
        <w:r>
          <w:rPr>
            <w:color w:val="0563C1"/>
            <w:u w:val="single"/>
          </w:rPr>
          <w:t>Ver en El Peruano</w:t>
        </w:r>
      </w:hyperlink>
      <w:r>
        <w:t xml:space="preserve">   </w:t>
      </w:r>
      <w:hyperlink r:id="rId11">
        <w:r>
          <w:rPr>
            <w:color w:val="0563C1"/>
            <w:u w:val="single"/>
          </w:rPr>
          <w:t>PDF</w:t>
        </w:r>
      </w:hyperlink>
    </w:p>
    <w:p>
      <w:pPr>
        <w:pStyle w:val="Heading1"/>
      </w:pPr>
      <w:r>
        <w:t>3. Normatividad presupuestal (2)</w:t>
      </w:r>
    </w:p>
    <w:tbl>
      <w:tblPr>
        <w:tblStyle w:val="TableGrid"/>
        <w:tblW w:type="auto" w:w="0"/>
        <w:tblLook w:firstColumn="1" w:firstRow="1" w:lastColumn="0" w:lastRow="0" w:noHBand="0" w:noVBand="1" w:val="04A0"/>
      </w:tblPr>
      <w:tblGrid>
        <w:gridCol w:w="2493"/>
        <w:gridCol w:w="2493"/>
        <w:gridCol w:w="2493"/>
        <w:gridCol w:w="2493"/>
      </w:tblGrid>
      <w:tr>
        <w:tc>
          <w:tcPr>
            <w:tcW w:type="dxa" w:w="1247"/>
            <w:shd w:val="clear" w:color="auto" w:fill="1F4E79"/>
          </w:tcPr>
          <w:p>
            <w:r>
              <w:rPr>
                <w:b/>
                <w:color w:val="FFFFFF"/>
                <w:sz w:val="18"/>
              </w:rPr>
              <w:t>Fecha</w:t>
            </w:r>
          </w:p>
        </w:tc>
        <w:tc>
          <w:tcPr>
            <w:tcW w:type="dxa" w:w="1984"/>
            <w:shd w:val="clear" w:color="auto" w:fill="1F4E79"/>
          </w:tcPr>
          <w:p>
            <w:r>
              <w:rPr>
                <w:b/>
                <w:color w:val="FFFFFF"/>
                <w:sz w:val="18"/>
              </w:rPr>
              <w:t>Entidad</w:t>
            </w:r>
          </w:p>
        </w:tc>
        <w:tc>
          <w:tcPr>
            <w:tcW w:type="dxa" w:w="2268"/>
            <w:shd w:val="clear" w:color="auto" w:fill="1F4E79"/>
          </w:tcPr>
          <w:p>
            <w:r>
              <w:rPr>
                <w:b/>
                <w:color w:val="FFFFFF"/>
                <w:sz w:val="18"/>
              </w:rPr>
              <w:t>Norma</w:t>
            </w:r>
          </w:p>
        </w:tc>
        <w:tc>
          <w:tcPr>
            <w:tcW w:type="dxa" w:w="4139"/>
            <w:shd w:val="clear" w:color="auto" w:fill="1F4E79"/>
          </w:tcPr>
          <w:p>
            <w:r>
              <w:rPr>
                <w:b/>
                <w:color w:val="FFFFFF"/>
                <w:sz w:val="18"/>
              </w:rPr>
              <w:t>Sumilla</w:t>
            </w:r>
          </w:p>
        </w:tc>
      </w:tr>
      <w:tr>
        <w:tc>
          <w:tcPr>
            <w:tcW w:type="dxa" w:w="1247"/>
          </w:tcPr>
          <w:p>
            <w:r>
              <w:rPr>
                <w:sz w:val="18"/>
              </w:rPr>
              <w:t>08/10/2026</w:t>
            </w:r>
          </w:p>
        </w:tc>
        <w:tc>
          <w:tcPr>
            <w:tcW w:type="dxa" w:w="1984"/>
          </w:tcPr>
          <w:p>
            <w:r>
              <w:rPr>
                <w:sz w:val="18"/>
              </w:rPr>
              <w:t>GOBIERNO REGIONAL DE MADRE DE DIOS</w:t>
            </w:r>
          </w:p>
        </w:tc>
        <w:tc>
          <w:tcPr>
            <w:tcW w:type="dxa" w:w="2268"/>
          </w:tcPr>
          <w:p>
            <w:r>
              <w:rPr>
                <w:sz w:val="18"/>
              </w:rPr>
            </w:r>
            <w:hyperlink r:id="rId12">
              <w:r>
                <w:rPr>
                  <w:color w:val="0563C1"/>
                  <w:u w:val="single"/>
                </w:rPr>
                <w:t>ACUERDO  N° 098-2026-RMDD/CR</w:t>
              </w:r>
            </w:hyperlink>
          </w:p>
        </w:tc>
        <w:tc>
          <w:tcPr>
            <w:tcW w:type="dxa" w:w="4139"/>
          </w:tcPr>
          <w:p>
            <w:r>
              <w:rPr>
                <w:sz w:val="18"/>
              </w:rPr>
              <w:t>Autorizan transferencia financiera a favor de la Contraloría General de la República</w:t>
            </w:r>
          </w:p>
        </w:tc>
      </w:tr>
      <w:tr>
        <w:tc>
          <w:tcPr>
            <w:tcW w:type="dxa" w:w="1247"/>
          </w:tcPr>
          <w:p>
            <w:r>
              <w:rPr>
                <w:sz w:val="18"/>
              </w:rPr>
              <w:t>08/10/2026 (Ext.)</w:t>
            </w:r>
          </w:p>
        </w:tc>
        <w:tc>
          <w:tcPr>
            <w:tcW w:type="dxa" w:w="1984"/>
          </w:tcPr>
          <w:p>
            <w:r>
              <w:rPr>
                <w:sz w:val="18"/>
              </w:rPr>
              <w:t>INTERIOR</w:t>
            </w:r>
          </w:p>
        </w:tc>
        <w:tc>
          <w:tcPr>
            <w:tcW w:type="dxa" w:w="2268"/>
          </w:tcPr>
          <w:p>
            <w:r>
              <w:rPr>
                <w:sz w:val="18"/>
              </w:rPr>
            </w:r>
            <w:hyperlink r:id="rId13">
              <w:r>
                <w:rPr>
                  <w:color w:val="0563C1"/>
                  <w:u w:val="single"/>
                </w:rPr>
                <w:t>RESOLUCIÓN MINISTERIAL N° 1491-2026-IN</w:t>
              </w:r>
            </w:hyperlink>
          </w:p>
        </w:tc>
        <w:tc>
          <w:tcPr>
            <w:tcW w:type="dxa" w:w="4139"/>
          </w:tcPr>
          <w:p>
            <w:r>
              <w:rPr>
                <w:sz w:val="18"/>
              </w:rPr>
              <w:t>Autorizan transferencia financiera a favor de la Caja de Pensiones Militar Policial (CPMP)</w:t>
            </w:r>
          </w:p>
        </w:tc>
      </w:tr>
    </w:tbl>
    <w:p/>
    <w:p>
      <w:pPr>
        <w:pStyle w:val="Heading3"/>
      </w:pPr>
      <w:r>
        <w:t>ACUERDO  N° 098-2026-RMDD/CR</w:t>
      </w:r>
    </w:p>
    <w:p>
      <w:r>
        <w:rPr>
          <w:b/>
        </w:rPr>
        <w:t xml:space="preserve">Entidad: </w:t>
      </w:r>
      <w:r>
        <w:t xml:space="preserve">GOBIERNO REGIONAL DE MADRE DE DIOS   </w:t>
      </w:r>
      <w:r>
        <w:rPr>
          <w:b/>
        </w:rPr>
        <w:t xml:space="preserve">Fecha: </w:t>
      </w:r>
      <w:r>
        <w:t>08/10/2026</w:t>
      </w:r>
    </w:p>
    <w:p>
      <w:r>
        <w:rPr>
          <w:b/>
        </w:rPr>
        <w:t xml:space="preserve">Temas: </w:t>
      </w:r>
      <w:r>
        <w:t>Normatividad presupuestal</w:t>
      </w:r>
    </w:p>
    <w:p>
      <w:r>
        <w:rPr>
          <w:b/>
        </w:rPr>
        <w:t xml:space="preserve">Sumilla: </w:t>
      </w:r>
      <w:r>
        <w:t>Autorizan transferencia financiera a favor de la Contraloría General de la República</w:t>
      </w:r>
    </w:p>
    <w:p>
      <w:r>
        <w:rPr>
          <w:b/>
        </w:rPr>
        <w:t xml:space="preserve">Montos citados: </w:t>
      </w:r>
      <w:r>
        <w:t>S/ 234,905.00, S/ 223,539.00, S/ 11,366.00</w:t>
      </w:r>
    </w:p>
    <w:p>
      <w:hyperlink r:id="rId12">
        <w:r>
          <w:rPr>
            <w:color w:val="0563C1"/>
            <w:u w:val="single"/>
          </w:rPr>
          <w:t>Ver texto completo</w:t>
        </w:r>
      </w:hyperlink>
      <w:r>
        <w:t xml:space="preserve">   </w:t>
      </w:r>
      <w:hyperlink r:id="rId14">
        <w:r>
          <w:rPr>
            <w:color w:val="0563C1"/>
            <w:u w:val="single"/>
          </w:rPr>
          <w:t>Ver en El Peruano</w:t>
        </w:r>
      </w:hyperlink>
      <w:r>
        <w:t xml:space="preserve">   </w:t>
      </w:r>
      <w:hyperlink r:id="rId15">
        <w:r>
          <w:rPr>
            <w:color w:val="0563C1"/>
            <w:u w:val="single"/>
          </w:rPr>
          <w:t>PDF</w:t>
        </w:r>
      </w:hyperlink>
    </w:p>
    <w:p>
      <w:pPr>
        <w:pStyle w:val="Heading3"/>
      </w:pPr>
      <w:r>
        <w:t>RESOLUCIÓN MINISTERIAL N° 1491-2026-IN</w:t>
      </w:r>
    </w:p>
    <w:p>
      <w:r>
        <w:rPr>
          <w:b/>
        </w:rPr>
        <w:t xml:space="preserve">Entidad: </w:t>
      </w:r>
      <w:r>
        <w:t xml:space="preserve">INTERIOR   </w:t>
      </w:r>
      <w:r>
        <w:rPr>
          <w:b/>
        </w:rPr>
        <w:t xml:space="preserve">Fecha: </w:t>
      </w:r>
      <w:r>
        <w:t>08/10/2026  (Edición Extraordinaria)</w:t>
      </w:r>
    </w:p>
    <w:p>
      <w:r>
        <w:rPr>
          <w:b/>
        </w:rPr>
        <w:t xml:space="preserve">Temas: </w:t>
      </w:r>
      <w:r>
        <w:t>Normatividad presupuestal</w:t>
      </w:r>
    </w:p>
    <w:p>
      <w:r>
        <w:rPr>
          <w:b/>
        </w:rPr>
        <w:t xml:space="preserve">Sumilla: </w:t>
      </w:r>
      <w:r>
        <w:t>Autorizan transferencia financiera a favor de la Caja de Pensiones Militar Policial (CPMP)</w:t>
      </w:r>
    </w:p>
    <w:p>
      <w:r>
        <w:rPr>
          <w:b/>
        </w:rPr>
        <w:t xml:space="preserve">Dispone: </w:t>
      </w:r>
      <w:r>
        <w:t>Artículo 1. Autorización de Transferencia Financiera Autorizar la transferencia financiera, con cargo al Presupuesto Institucional del Año Fiscal 2026 del Pliego 007: M. del Interior, hasta por la suma de S/ 280 035 386,00 (DOSCIENTOS OCHENTA MILLONES TREINTA Y CINCO MIL TRESCIENTOS OCHENTA Y SEIS Y 00/100 SOLES), a favor de la Caja de Pensiones Militar Policial (CPMP), para ser destinada exclusivamente al financiamiento del pago de las obligaciones previsionales a cargo de dicha Caja, de conformidad con lo dispuesto en el numeral 3 de la Quincuagésima Segunda Disposición Complementaria Final de la Ley Nº 32732. Artículo 2. Limitación al uso de los recursos Los recursos de la transferencia…</w:t>
      </w:r>
    </w:p>
    <w:p>
      <w:r>
        <w:rPr>
          <w:b/>
        </w:rPr>
        <w:t xml:space="preserve">Montos citados: </w:t>
      </w:r>
      <w:r>
        <w:t>S/ 13, S/ 280</w:t>
      </w:r>
    </w:p>
    <w:p>
      <w:hyperlink r:id="rId13">
        <w:r>
          <w:rPr>
            <w:color w:val="0563C1"/>
            <w:u w:val="single"/>
          </w:rPr>
          <w:t>Ver texto completo</w:t>
        </w:r>
      </w:hyperlink>
      <w:r>
        <w:t xml:space="preserve">   </w:t>
      </w:r>
      <w:hyperlink r:id="rId16">
        <w:r>
          <w:rPr>
            <w:color w:val="0563C1"/>
            <w:u w:val="single"/>
          </w:rPr>
          <w:t>Ver en El Peruano</w:t>
        </w:r>
      </w:hyperlink>
      <w:r>
        <w:t xml:space="preserve">   </w:t>
      </w:r>
      <w:hyperlink r:id="rId17">
        <w:r>
          <w:rPr>
            <w:color w:val="0563C1"/>
            <w:u w:val="single"/>
          </w:rPr>
          <w:t>PDF</w:t>
        </w:r>
      </w:hyperlink>
    </w:p>
    <w:sectPr w:rsidR="00FC693F" w:rsidRPr="0006063C" w:rsidSect="00034616">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busquedas.elperuano.pe/api/visor_html/2562854-1" TargetMode="External"/><Relationship Id="rId10" Type="http://schemas.openxmlformats.org/officeDocument/2006/relationships/hyperlink" Target="https://busquedas.elperuano.pe/dispositivo/EX/2562854-1" TargetMode="External"/><Relationship Id="rId11" Type="http://schemas.openxmlformats.org/officeDocument/2006/relationships/hyperlink" Target="https://busquedas.elperuano.pe/dispositivo/EX/2562854-1/pdf" TargetMode="External"/><Relationship Id="rId12" Type="http://schemas.openxmlformats.org/officeDocument/2006/relationships/hyperlink" Target="https://busquedas.elperuano.pe/api/visor_html/2535539-1" TargetMode="External"/><Relationship Id="rId13" Type="http://schemas.openxmlformats.org/officeDocument/2006/relationships/hyperlink" Target="https://busquedas.elperuano.pe/api/visor_html/2562858-1" TargetMode="External"/><Relationship Id="rId14" Type="http://schemas.openxmlformats.org/officeDocument/2006/relationships/hyperlink" Target="https://busquedas.elperuano.pe/dispositivo/NL/2535539-1" TargetMode="External"/><Relationship Id="rId15" Type="http://schemas.openxmlformats.org/officeDocument/2006/relationships/hyperlink" Target="https://busquedas.elperuano.pe/dispositivo/NL/2535539-1/pdf" TargetMode="External"/><Relationship Id="rId16" Type="http://schemas.openxmlformats.org/officeDocument/2006/relationships/hyperlink" Target="https://busquedas.elperuano.pe/dispositivo/EX/2562858-1" TargetMode="External"/><Relationship Id="rId17" Type="http://schemas.openxmlformats.org/officeDocument/2006/relationships/hyperlink" Target="https://busquedas.elperuano.pe/dispositivo/EX/2562858-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