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Resumen de Normas Legales – Diario Oficial El Peruano</w:t>
      </w:r>
    </w:p>
    <w:p>
      <w:pPr>
        <w:jc w:val="center"/>
      </w:pPr>
      <w:r>
        <w:rPr>
          <w:b/>
        </w:rPr>
        <w:t>Periodo revisado: 09/10/2026</w:t>
        <w:br/>
      </w:r>
      <w:r>
        <w:t>Generado: 26/10/2026 10:23  ·  Fuente: diariooficial.elperuano.pe</w:t>
      </w:r>
    </w:p>
    <w:p>
      <w:pPr>
        <w:pStyle w:val="Heading1"/>
      </w:pPr>
      <w:r>
        <w:t>1. Resumen ejecutivo</w:t>
      </w:r>
    </w:p>
    <w:p>
      <w:r>
        <w:t>Se revisaron 40 normas publicadas en el periodo. 1 resultan de interés para la ATU por tratar sobre la entidad, la normatividad presupuestal o las inversiones.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Tema</w:t>
            </w:r>
          </w:p>
        </w:tc>
        <w:tc>
          <w:tcPr>
            <w:tcW w:type="dxa" w:w="4986"/>
          </w:tcPr>
          <w:p>
            <w:r>
              <w:t>N.° de normas</w:t>
            </w:r>
          </w:p>
        </w:tc>
      </w:tr>
      <w:tr>
        <w:tc>
          <w:tcPr>
            <w:tcW w:type="dxa" w:w="4986"/>
          </w:tcPr>
          <w:p>
            <w:r>
              <w:t>ATU y transporte urbano</w:t>
            </w:r>
          </w:p>
        </w:tc>
        <w:tc>
          <w:tcPr>
            <w:tcW w:type="dxa" w:w="4986"/>
          </w:tcPr>
          <w:p>
            <w:r>
              <w:t>0</w:t>
            </w:r>
          </w:p>
        </w:tc>
      </w:tr>
      <w:tr>
        <w:tc>
          <w:tcPr>
            <w:tcW w:type="dxa" w:w="4986"/>
          </w:tcPr>
          <w:p>
            <w:r>
              <w:t>Normatividad presupuestal</w:t>
            </w:r>
          </w:p>
        </w:tc>
        <w:tc>
          <w:tcPr>
            <w:tcW w:type="dxa" w:w="4986"/>
          </w:tcPr>
          <w:p>
            <w:r>
              <w:t>1</w:t>
            </w:r>
          </w:p>
        </w:tc>
      </w:tr>
      <w:tr>
        <w:tc>
          <w:tcPr>
            <w:tcW w:type="dxa" w:w="4986"/>
          </w:tcPr>
          <w:p>
            <w:r>
              <w:t>Inversiones</w:t>
            </w:r>
          </w:p>
        </w:tc>
        <w:tc>
          <w:tcPr>
            <w:tcW w:type="dxa" w:w="4986"/>
          </w:tcPr>
          <w:p>
            <w:r>
              <w:t>0</w:t>
            </w:r>
          </w:p>
        </w:tc>
      </w:tr>
    </w:tbl>
    <w:p>
      <w:pPr>
        <w:pStyle w:val="Heading1"/>
      </w:pPr>
      <w:r>
        <w:t>2. Normatividad presupuestal (1)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198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Norma</w:t>
            </w:r>
          </w:p>
        </w:tc>
        <w:tc>
          <w:tcPr>
            <w:tcW w:type="dxa" w:w="4139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Sumilla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09/10/2026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ECONOMÍA Y FINANZAS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hyperlink r:id="rId9">
              <w:r>
                <w:rPr>
                  <w:color w:val="0563C1"/>
                  <w:u w:val="single"/>
                </w:rPr>
                <w:t>DECRETO SUPREMO  N° 214-2026-EF</w:t>
              </w:r>
            </w:hyperlink>
          </w:p>
        </w:tc>
        <w:tc>
          <w:tcPr>
            <w:tcW w:type="dxa" w:w="4139"/>
          </w:tcPr>
          <w:p>
            <w:r>
              <w:rPr>
                <w:sz w:val="18"/>
              </w:rPr>
              <w:t>Decreto Supremo que autoriza transferencia de partidas en el Presupuesto del Sector Público para el Año Fiscal 2026 a favor del Registro Nacional de Identificación y Estado Civil</w:t>
            </w:r>
          </w:p>
        </w:tc>
      </w:tr>
    </w:tbl>
    <w:p/>
    <w:p>
      <w:pPr>
        <w:pStyle w:val="Heading3"/>
      </w:pPr>
      <w:r>
        <w:t>DECRETO SUPREMO  N° 214-2026-EF</w:t>
      </w:r>
    </w:p>
    <w:p>
      <w:r>
        <w:rPr>
          <w:b/>
        </w:rPr>
        <w:t xml:space="preserve">Entidad: </w:t>
      </w:r>
      <w:r>
        <w:t xml:space="preserve">ECONOMÍA Y FINANZAS   </w:t>
      </w:r>
      <w:r>
        <w:rPr>
          <w:b/>
        </w:rPr>
        <w:t xml:space="preserve">Fecha: </w:t>
      </w:r>
      <w:r>
        <w:t>09/10/2026</w:t>
      </w:r>
    </w:p>
    <w:p>
      <w:r>
        <w:rPr>
          <w:b/>
        </w:rPr>
        <w:t xml:space="preserve">Temas: </w:t>
      </w:r>
      <w:r>
        <w:t>Normatividad presupuestal</w:t>
      </w:r>
    </w:p>
    <w:p>
      <w:r>
        <w:rPr>
          <w:b/>
        </w:rPr>
        <w:t xml:space="preserve">Sumilla: </w:t>
      </w:r>
      <w:r>
        <w:t>Decreto Supremo que autoriza transferencia de partidas en el Presupuesto del Sector Público para el Año Fiscal 2026 a favor del Registro Nacional de Identificación y Estado Civil</w:t>
      </w:r>
    </w:p>
    <w:p>
      <w:r>
        <w:rPr>
          <w:b/>
        </w:rPr>
        <w:t xml:space="preserve">Dispone: </w:t>
      </w:r>
      <w:r>
        <w:t>Artículo 1.- Objeto Se autoriza una Transferencia de Partidas en el Presupuesto del Sector Público para el Año Fiscal 2026, hasta por la suma de S/ 2 201 350,00 (DOS MILLONES DOSCIENTOS UN MIL TRESCIENTOS CINCUENTA Y 00/100 SOLES), por la fuente de financiamiento Recursos Ordinarios, a favor del Registro Nacional de Identificación y Estado Civil, con cargo a los recursos de la Reserva de Contingencia del Ministerio de Economía y Finanzas, para financiar el Incentivo Presupuestario al Programa Presupuestal 0079: Acceso de la Población a la Identidad, a cargo del RENIEC, por el cumplimiento de indicadores y metas correspondientes al Tramo II, en el marco de lo establecido en los numerales…</w:t>
      </w:r>
    </w:p>
    <w:p>
      <w:r>
        <w:rPr>
          <w:b/>
        </w:rPr>
        <w:t xml:space="preserve">Montos citados: </w:t>
      </w:r>
      <w:r>
        <w:t>S/ 7, S/ 2</w:t>
      </w:r>
    </w:p>
    <w:p>
      <w:hyperlink r:id="rId9">
        <w:r>
          <w:rPr>
            <w:color w:val="0563C1"/>
            <w:u w:val="single"/>
          </w:rPr>
          <w:t>Ver texto completo</w:t>
        </w:r>
      </w:hyperlink>
      <w:r>
        <w:t xml:space="preserve">   </w:t>
      </w:r>
      <w:hyperlink r:id="rId10">
        <w:r>
          <w:rPr>
            <w:color w:val="0563C1"/>
            <w:u w:val="single"/>
          </w:rPr>
          <w:t>Ver en El Peruano</w:t>
        </w:r>
      </w:hyperlink>
      <w:r>
        <w:t xml:space="preserve">   </w:t>
      </w:r>
      <w:hyperlink r:id="rId11">
        <w:r>
          <w:rPr>
            <w:color w:val="0563C1"/>
            <w:u w:val="single"/>
          </w:rPr>
          <w:t>PDF</w:t>
        </w:r>
      </w:hyperlink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usquedas.elperuano.pe/api/visor_html/2562862-1" TargetMode="External"/><Relationship Id="rId10" Type="http://schemas.openxmlformats.org/officeDocument/2006/relationships/hyperlink" Target="https://busquedas.elperuano.pe/dispositivo/NL/2562862-1" TargetMode="External"/><Relationship Id="rId11" Type="http://schemas.openxmlformats.org/officeDocument/2006/relationships/hyperlink" Target="https://busquedas.elperuano.pe/dispositivo/NL/2562862-1/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