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Resumen de Normas Legales – Diario Oficial El Peruano</w:t>
      </w:r>
    </w:p>
    <w:p>
      <w:pPr>
        <w:jc w:val="center"/>
      </w:pPr>
      <w:r>
        <w:rPr>
          <w:b/>
        </w:rPr>
        <w:t>Periodo revisado: 10/10/2026</w:t>
        <w:br/>
      </w:r>
      <w:r>
        <w:t>Generado: 26/10/2026 10:24  ·  Fuente: diariooficial.elperuano.pe</w:t>
      </w:r>
    </w:p>
    <w:p>
      <w:pPr>
        <w:pStyle w:val="Heading1"/>
      </w:pPr>
      <w:r>
        <w:t>1. Resumen ejecutivo</w:t>
      </w:r>
    </w:p>
    <w:p>
      <w:r>
        <w:t>Se revisaron 40 normas publicadas en el periodo. 1 resultan de interés para la ATU por tratar sobre la entidad, la normatividad presupuestal o las inversiones.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Tema</w:t>
            </w:r>
          </w:p>
        </w:tc>
        <w:tc>
          <w:tcPr>
            <w:tcW w:type="dxa" w:w="4986"/>
          </w:tcPr>
          <w:p>
            <w:r>
              <w:t>N.° de normas</w:t>
            </w:r>
          </w:p>
        </w:tc>
      </w:tr>
      <w:tr>
        <w:tc>
          <w:tcPr>
            <w:tcW w:type="dxa" w:w="4986"/>
          </w:tcPr>
          <w:p>
            <w:r>
              <w:t>ATU y transporte urbano</w:t>
            </w:r>
          </w:p>
        </w:tc>
        <w:tc>
          <w:tcPr>
            <w:tcW w:type="dxa" w:w="4986"/>
          </w:tcPr>
          <w:p>
            <w:r>
              <w:t>0</w:t>
            </w:r>
          </w:p>
        </w:tc>
      </w:tr>
      <w:tr>
        <w:tc>
          <w:tcPr>
            <w:tcW w:type="dxa" w:w="4986"/>
          </w:tcPr>
          <w:p>
            <w:r>
              <w:t>Normatividad presupuestal</w:t>
            </w:r>
          </w:p>
        </w:tc>
        <w:tc>
          <w:tcPr>
            <w:tcW w:type="dxa" w:w="4986"/>
          </w:tcPr>
          <w:p>
            <w:r>
              <w:t>1</w:t>
            </w:r>
          </w:p>
        </w:tc>
      </w:tr>
      <w:tr>
        <w:tc>
          <w:tcPr>
            <w:tcW w:type="dxa" w:w="4986"/>
          </w:tcPr>
          <w:p>
            <w:r>
              <w:t>Inversiones</w:t>
            </w:r>
          </w:p>
        </w:tc>
        <w:tc>
          <w:tcPr>
            <w:tcW w:type="dxa" w:w="4986"/>
          </w:tcPr>
          <w:p>
            <w:r>
              <w:t>0</w:t>
            </w:r>
          </w:p>
        </w:tc>
      </w:tr>
    </w:tbl>
    <w:p>
      <w:pPr>
        <w:pStyle w:val="Heading1"/>
      </w:pPr>
      <w:r>
        <w:t>2. Normatividad presupuestal (1)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198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Norma</w:t>
            </w:r>
          </w:p>
        </w:tc>
        <w:tc>
          <w:tcPr>
            <w:tcW w:type="dxa" w:w="4139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Sumilla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10/10/2026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ECONOMÍA Y FINANZAS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hyperlink r:id="rId9">
              <w:r>
                <w:rPr>
                  <w:color w:val="0563C1"/>
                  <w:u w:val="single"/>
                </w:rPr>
                <w:t>DECRETO SUPREMO  N° 215-2026-EF</w:t>
              </w:r>
            </w:hyperlink>
          </w:p>
        </w:tc>
        <w:tc>
          <w:tcPr>
            <w:tcW w:type="dxa" w:w="4139"/>
          </w:tcPr>
          <w:p>
            <w:r>
              <w:rPr>
                <w:sz w:val="18"/>
              </w:rPr>
              <w:t>Decreto Supremo que autoriza Transferencia de Partidas en el Presupuesto del Sector Público para el Año Fiscal 2026 a favor de diversos Gobiernos Regionales</w:t>
            </w:r>
          </w:p>
        </w:tc>
      </w:tr>
    </w:tbl>
    <w:p/>
    <w:p>
      <w:pPr>
        <w:pStyle w:val="Heading3"/>
      </w:pPr>
      <w:r>
        <w:t>DECRETO SUPREMO  N° 215-2026-EF</w:t>
      </w:r>
    </w:p>
    <w:p>
      <w:r>
        <w:rPr>
          <w:b/>
        </w:rPr>
        <w:t xml:space="preserve">Entidad: </w:t>
      </w:r>
      <w:r>
        <w:t xml:space="preserve">ECONOMÍA Y FINANZAS   </w:t>
      </w:r>
      <w:r>
        <w:rPr>
          <w:b/>
        </w:rPr>
        <w:t xml:space="preserve">Fecha: </w:t>
      </w:r>
      <w:r>
        <w:t>10/10/2026</w:t>
      </w:r>
    </w:p>
    <w:p>
      <w:r>
        <w:rPr>
          <w:b/>
        </w:rPr>
        <w:t xml:space="preserve">Temas: </w:t>
      </w:r>
      <w:r>
        <w:t>Normatividad presupuestal</w:t>
      </w:r>
    </w:p>
    <w:p>
      <w:r>
        <w:rPr>
          <w:b/>
        </w:rPr>
        <w:t xml:space="preserve">Sumilla: </w:t>
      </w:r>
      <w:r>
        <w:t>Decreto Supremo que autoriza Transferencia de Partidas en el Presupuesto del Sector Público para el Año Fiscal 2026 a favor de diversos Gobiernos Regionales</w:t>
      </w:r>
    </w:p>
    <w:p>
      <w:r>
        <w:rPr>
          <w:b/>
        </w:rPr>
        <w:t xml:space="preserve">Dispone: </w:t>
      </w:r>
      <w:r>
        <w:t>Artículo 1.- Objeto 1.1 Se autoriza una Transferencia de Partidas en el Presupuesto del Sector Público para el Año Fiscal 2026, hasta por la suma de S/ 45 504 586,00 (CUARENTA Y CINCO MILLONES QUINIENTOS CUATRO MIL QUINIENTOS OCHENTA Y SEIS Y 00/100 SOLES), por la fuente de financiamiento Recursos Ordinarios, a favor de diversos gobiernos regionales, para el financiamiento de las intervenciones priorizadas por el Ministerio de Educación, así como para el financiamiento de los bienes, servicios, equipamiento, acondicionamiento y mantenimiento de infraestructura de los Programas Presupuestales “Logros de Aprendizaje de Estudiantes de la Educación Básica Regular”, “Incremento en el acceso de…</w:t>
      </w:r>
    </w:p>
    <w:p>
      <w:r>
        <w:rPr>
          <w:b/>
        </w:rPr>
        <w:t xml:space="preserve">Montos citados: </w:t>
      </w:r>
      <w:r>
        <w:t>S/ 100, S/ 45</w:t>
      </w:r>
    </w:p>
    <w:p>
      <w:hyperlink r:id="rId9">
        <w:r>
          <w:rPr>
            <w:color w:val="0563C1"/>
            <w:u w:val="single"/>
          </w:rPr>
          <w:t>Ver texto completo</w:t>
        </w:r>
      </w:hyperlink>
      <w:r>
        <w:t xml:space="preserve">   </w:t>
      </w:r>
      <w:hyperlink r:id="rId10">
        <w:r>
          <w:rPr>
            <w:color w:val="0563C1"/>
            <w:u w:val="single"/>
          </w:rPr>
          <w:t>Ver en El Peruano</w:t>
        </w:r>
      </w:hyperlink>
      <w:r>
        <w:t xml:space="preserve">   </w:t>
      </w:r>
      <w:hyperlink r:id="rId11">
        <w:r>
          <w:rPr>
            <w:color w:val="0563C1"/>
            <w:u w:val="single"/>
          </w:rPr>
          <w:t>PDF</w:t>
        </w:r>
      </w:hyperlink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usquedas.elperuano.pe/api/visor_html/2563350-1" TargetMode="External"/><Relationship Id="rId10" Type="http://schemas.openxmlformats.org/officeDocument/2006/relationships/hyperlink" Target="https://busquedas.elperuano.pe/dispositivo/NL/2563350-1" TargetMode="External"/><Relationship Id="rId11" Type="http://schemas.openxmlformats.org/officeDocument/2006/relationships/hyperlink" Target="https://busquedas.elperuano.pe/dispositivo/NL/2563350-1/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