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Resumen de Normas Legales – Diario Oficial El Peruano</w:t>
      </w:r>
    </w:p>
    <w:p>
      <w:pPr>
        <w:jc w:val="center"/>
      </w:pPr>
      <w:r>
        <w:rPr>
          <w:b/>
        </w:rPr>
        <w:t>Periodo revisado: 11/10/2026</w:t>
        <w:br/>
      </w:r>
      <w:r>
        <w:t>Generado: 26/10/2026 10:25  ·  Fuente: diariooficial.elperuano.pe</w:t>
      </w:r>
    </w:p>
    <w:p>
      <w:pPr>
        <w:pStyle w:val="Heading1"/>
      </w:pPr>
      <w:r>
        <w:t>1. Resumen ejecutivo</w:t>
      </w:r>
    </w:p>
    <w:p>
      <w:r>
        <w:t>Se revisaron 31 normas publicadas en el periodo. 1 resultan de interés para la ATU por tratar sobre la entidad, la normatividad presupuestal o las inversiones.</w:t>
      </w:r>
    </w:p>
    <w:tbl>
      <w:tblPr>
        <w:tblStyle w:val="LightGrid-Accent1"/>
        <w:tblW w:type="auto" w:w="0"/>
        <w:tblLook w:firstColumn="1" w:firstRow="1" w:lastColumn="0" w:lastRow="0" w:noHBand="0" w:noVBand="1" w:val="04A0"/>
      </w:tblPr>
      <w:tblGrid>
        <w:gridCol w:w="4986"/>
        <w:gridCol w:w="4986"/>
      </w:tblGrid>
      <w:tr>
        <w:tc>
          <w:tcPr>
            <w:tcW w:type="dxa" w:w="4986"/>
          </w:tcPr>
          <w:p>
            <w:r>
              <w:t>Tema</w:t>
            </w:r>
          </w:p>
        </w:tc>
        <w:tc>
          <w:tcPr>
            <w:tcW w:type="dxa" w:w="4986"/>
          </w:tcPr>
          <w:p>
            <w:r>
              <w:t>N.° de normas</w:t>
            </w:r>
          </w:p>
        </w:tc>
      </w:tr>
      <w:tr>
        <w:tc>
          <w:tcPr>
            <w:tcW w:type="dxa" w:w="4986"/>
          </w:tcPr>
          <w:p>
            <w:r>
              <w:t>ATU y transporte urbano</w:t>
            </w:r>
          </w:p>
        </w:tc>
        <w:tc>
          <w:tcPr>
            <w:tcW w:type="dxa" w:w="4986"/>
          </w:tcPr>
          <w:p>
            <w:r>
              <w:t>0</w:t>
            </w:r>
          </w:p>
        </w:tc>
      </w:tr>
      <w:tr>
        <w:tc>
          <w:tcPr>
            <w:tcW w:type="dxa" w:w="4986"/>
          </w:tcPr>
          <w:p>
            <w:r>
              <w:t>Normatividad presupuestal</w:t>
            </w:r>
          </w:p>
        </w:tc>
        <w:tc>
          <w:tcPr>
            <w:tcW w:type="dxa" w:w="4986"/>
          </w:tcPr>
          <w:p>
            <w:r>
              <w:t>0</w:t>
            </w:r>
          </w:p>
        </w:tc>
      </w:tr>
      <w:tr>
        <w:tc>
          <w:tcPr>
            <w:tcW w:type="dxa" w:w="4986"/>
          </w:tcPr>
          <w:p>
            <w:r>
              <w:t>Inversiones</w:t>
            </w:r>
          </w:p>
        </w:tc>
        <w:tc>
          <w:tcPr>
            <w:tcW w:type="dxa" w:w="4986"/>
          </w:tcPr>
          <w:p>
            <w:r>
              <w:t>1</w:t>
            </w:r>
          </w:p>
        </w:tc>
      </w:tr>
    </w:tbl>
    <w:p>
      <w:pPr>
        <w:pStyle w:val="Heading1"/>
      </w:pPr>
      <w:r>
        <w:t>2. Inversiones (1)</w:t>
      </w:r>
    </w:p>
    <w:tbl>
      <w:tblPr>
        <w:tblStyle w:val="TableGrid"/>
        <w:tblW w:type="auto" w:w="0"/>
        <w:tblLook w:firstColumn="1" w:firstRow="1" w:lastColumn="0" w:lastRow="0" w:noHBand="0" w:noVBand="1" w:val="04A0"/>
      </w:tblPr>
      <w:tblGrid>
        <w:gridCol w:w="2493"/>
        <w:gridCol w:w="2493"/>
        <w:gridCol w:w="2493"/>
        <w:gridCol w:w="2493"/>
      </w:tblGrid>
      <w:tr>
        <w:tc>
          <w:tcPr>
            <w:tcW w:type="dxa" w:w="1247"/>
            <w:shd w:val="clear" w:color="auto" w:fill="1F4E79"/>
          </w:tcPr>
          <w:p>
            <w:r>
              <w:rPr>
                <w:b/>
                <w:color w:val="FFFFFF"/>
                <w:sz w:val="18"/>
              </w:rPr>
              <w:t>Fecha</w:t>
            </w:r>
          </w:p>
        </w:tc>
        <w:tc>
          <w:tcPr>
            <w:tcW w:type="dxa" w:w="1984"/>
            <w:shd w:val="clear" w:color="auto" w:fill="1F4E79"/>
          </w:tcPr>
          <w:p>
            <w:r>
              <w:rPr>
                <w:b/>
                <w:color w:val="FFFFFF"/>
                <w:sz w:val="18"/>
              </w:rPr>
              <w:t>Entidad</w:t>
            </w:r>
          </w:p>
        </w:tc>
        <w:tc>
          <w:tcPr>
            <w:tcW w:type="dxa" w:w="2268"/>
            <w:shd w:val="clear" w:color="auto" w:fill="1F4E79"/>
          </w:tcPr>
          <w:p>
            <w:r>
              <w:rPr>
                <w:b/>
                <w:color w:val="FFFFFF"/>
                <w:sz w:val="18"/>
              </w:rPr>
              <w:t>Norma</w:t>
            </w:r>
          </w:p>
        </w:tc>
        <w:tc>
          <w:tcPr>
            <w:tcW w:type="dxa" w:w="4139"/>
            <w:shd w:val="clear" w:color="auto" w:fill="1F4E79"/>
          </w:tcPr>
          <w:p>
            <w:r>
              <w:rPr>
                <w:b/>
                <w:color w:val="FFFFFF"/>
                <w:sz w:val="18"/>
              </w:rPr>
              <w:t>Sumilla</w:t>
            </w:r>
          </w:p>
        </w:tc>
      </w:tr>
      <w:tr>
        <w:tc>
          <w:tcPr>
            <w:tcW w:type="dxa" w:w="1247"/>
          </w:tcPr>
          <w:p>
            <w:r>
              <w:rPr>
                <w:sz w:val="18"/>
              </w:rPr>
              <w:t>11/10/2026</w:t>
            </w:r>
          </w:p>
        </w:tc>
        <w:tc>
          <w:tcPr>
            <w:tcW w:type="dxa" w:w="1984"/>
          </w:tcPr>
          <w:p>
            <w:r>
              <w:rPr>
                <w:sz w:val="18"/>
              </w:rPr>
              <w:t>ORGANISMO SUPERVISOR DE LA INVERSIÓN EN INFRAESTRUCTURA DE TRANSPORTE DE USO PÚBLICO</w:t>
            </w:r>
          </w:p>
        </w:tc>
        <w:tc>
          <w:tcPr>
            <w:tcW w:type="dxa" w:w="2268"/>
          </w:tcPr>
          <w:p>
            <w:r>
              <w:rPr>
                <w:sz w:val="18"/>
              </w:rPr>
            </w:r>
            <w:hyperlink r:id="rId9">
              <w:r>
                <w:rPr>
                  <w:color w:val="0563C1"/>
                  <w:u w:val="single"/>
                </w:rPr>
                <w:t>RESOLUCIÓN  N° 0052-2026-CD-OSITRAN</w:t>
              </w:r>
            </w:hyperlink>
          </w:p>
        </w:tc>
        <w:tc>
          <w:tcPr>
            <w:tcW w:type="dxa" w:w="4139"/>
          </w:tcPr>
          <w:p>
            <w:r>
              <w:rPr>
                <w:sz w:val="18"/>
              </w:rPr>
              <w:t>Modifican el Reglamento de Incentivos Infracciones y Sanciones del Ositrán y la Directiva para la Aplicación Impugnación y Cobro de Penalidades en los Contratos de Concesión bajo el ámbito del Ositrán</w:t>
            </w:r>
          </w:p>
        </w:tc>
      </w:tr>
    </w:tbl>
    <w:p/>
    <w:p>
      <w:pPr>
        <w:pStyle w:val="Heading3"/>
      </w:pPr>
      <w:r>
        <w:t>RESOLUCIÓN  N° 0052-2026-CD-OSITRAN</w:t>
      </w:r>
    </w:p>
    <w:p>
      <w:r>
        <w:rPr>
          <w:b/>
        </w:rPr>
        <w:t xml:space="preserve">Entidad: </w:t>
      </w:r>
      <w:r>
        <w:t xml:space="preserve">ORGANISMO SUPERVISOR DE LA INVERSIÓN EN INFRAESTRUCTURA DE TRANSPORTE DE USO PÚBLICO   </w:t>
      </w:r>
      <w:r>
        <w:rPr>
          <w:b/>
        </w:rPr>
        <w:t xml:space="preserve">Fecha: </w:t>
      </w:r>
      <w:r>
        <w:t>11/10/2026</w:t>
      </w:r>
    </w:p>
    <w:p>
      <w:r>
        <w:rPr>
          <w:b/>
        </w:rPr>
        <w:t xml:space="preserve">Temas: </w:t>
      </w:r>
      <w:r>
        <w:t>Inversiones</w:t>
      </w:r>
    </w:p>
    <w:p>
      <w:r>
        <w:rPr>
          <w:b/>
        </w:rPr>
        <w:t xml:space="preserve">Sumilla: </w:t>
      </w:r>
      <w:r>
        <w:t>Modifican el Reglamento de Incentivos Infracciones y Sanciones del Ositrán y la Directiva para la Aplicación Impugnación y Cobro de Penalidades en los Contratos de Concesión bajo el ámbito del Ositrán</w:t>
      </w:r>
    </w:p>
    <w:p>
      <w:r>
        <w:rPr>
          <w:b/>
        </w:rPr>
        <w:t xml:space="preserve">Dispone: </w:t>
      </w:r>
      <w:r>
        <w:t>Artículo 1.- Aprobar la modificación de la Segunda Disposición Complementaria Transitoria y de la Única Disposición Complementaria Final del Reglamento de Incentivos, Infracciones y Sanciones del Ositrán, aprobado mediante Resolución de Consejo Directivo N° 009-2018-CD-OSITRAN y sus modificatorias, en los siguientes términos: “Disposición Complementaria Transitoria (…) SEGUNDA.- Órganos del procedimiento administrativo sancionador La Gerencia General continuará tramitando hasta su resolución las impugnaciones ya elevadas hasta el día anterior al inicio efectivo de las funciones del Tribunal en Asuntos Administrativos. Para el inicio efectivo de sus funciones, el Tribunal en Asuntos…</w:t>
      </w:r>
    </w:p>
    <w:p>
      <w:hyperlink r:id="rId9">
        <w:r>
          <w:rPr>
            <w:color w:val="0563C1"/>
            <w:u w:val="single"/>
          </w:rPr>
          <w:t>Ver texto completo</w:t>
        </w:r>
      </w:hyperlink>
      <w:r>
        <w:t xml:space="preserve">   </w:t>
      </w:r>
      <w:hyperlink r:id="rId10">
        <w:r>
          <w:rPr>
            <w:color w:val="0563C1"/>
            <w:u w:val="single"/>
          </w:rPr>
          <w:t>Ver en El Peruano</w:t>
        </w:r>
      </w:hyperlink>
      <w:r>
        <w:t xml:space="preserve">   </w:t>
      </w:r>
      <w:hyperlink r:id="rId11">
        <w:r>
          <w:rPr>
            <w:color w:val="0563C1"/>
            <w:u w:val="single"/>
          </w:rPr>
          <w:t>PDF</w:t>
        </w:r>
      </w:hyperlink>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usquedas.elperuano.pe/api/visor_html/2563099-1" TargetMode="External"/><Relationship Id="rId10" Type="http://schemas.openxmlformats.org/officeDocument/2006/relationships/hyperlink" Target="https://busquedas.elperuano.pe/dispositivo/NL/2563099-1" TargetMode="External"/><Relationship Id="rId11" Type="http://schemas.openxmlformats.org/officeDocument/2006/relationships/hyperlink" Target="https://busquedas.elperuano.pe/dispositivo/NL/2563099-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