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Resumen de Normas Legales – Diario Oficial El Peruano</w:t>
      </w:r>
    </w:p>
    <w:p>
      <w:pPr>
        <w:jc w:val="center"/>
      </w:pPr>
      <w:r>
        <w:rPr>
          <w:b/>
        </w:rPr>
        <w:t>Periodo revisado: 16/10/2026</w:t>
        <w:br/>
      </w:r>
      <w:r>
        <w:t>Generado: 26/10/2026 10:26  ·  Fuente: diariooficial.elperuano.pe</w:t>
      </w:r>
    </w:p>
    <w:p>
      <w:pPr>
        <w:pStyle w:val="Heading1"/>
      </w:pPr>
      <w:r>
        <w:t>1. Resumen ejecutivo</w:t>
      </w:r>
    </w:p>
    <w:p>
      <w:r>
        <w:t>Se revisaron 116 normas publicadas en el periodo. 5 resultan de interés para la ATU por tratar sobre la entidad, la normatividad presupuestal o las inversiones.</w:t>
      </w:r>
    </w:p>
    <w:tbl>
      <w:tblPr>
        <w:tblStyle w:val="LightGrid-Accent1"/>
        <w:tblW w:type="auto" w:w="0"/>
        <w:tblLook w:firstColumn="1" w:firstRow="1" w:lastColumn="0" w:lastRow="0" w:noHBand="0" w:noVBand="1" w:val="04A0"/>
      </w:tblPr>
      <w:tblGrid>
        <w:gridCol w:w="4986"/>
        <w:gridCol w:w="4986"/>
      </w:tblGrid>
      <w:tr>
        <w:tc>
          <w:tcPr>
            <w:tcW w:type="dxa" w:w="4986"/>
          </w:tcPr>
          <w:p>
            <w:r>
              <w:t>Tema</w:t>
            </w:r>
          </w:p>
        </w:tc>
        <w:tc>
          <w:tcPr>
            <w:tcW w:type="dxa" w:w="4986"/>
          </w:tcPr>
          <w:p>
            <w:r>
              <w:t>N.° de normas</w:t>
            </w:r>
          </w:p>
        </w:tc>
      </w:tr>
      <w:tr>
        <w:tc>
          <w:tcPr>
            <w:tcW w:type="dxa" w:w="4986"/>
          </w:tcPr>
          <w:p>
            <w:r>
              <w:t>ATU y transporte urbano</w:t>
            </w:r>
          </w:p>
        </w:tc>
        <w:tc>
          <w:tcPr>
            <w:tcW w:type="dxa" w:w="4986"/>
          </w:tcPr>
          <w:p>
            <w:r>
              <w:t>0</w:t>
            </w:r>
          </w:p>
        </w:tc>
      </w:tr>
      <w:tr>
        <w:tc>
          <w:tcPr>
            <w:tcW w:type="dxa" w:w="4986"/>
          </w:tcPr>
          <w:p>
            <w:r>
              <w:t>Normatividad presupuestal</w:t>
            </w:r>
          </w:p>
        </w:tc>
        <w:tc>
          <w:tcPr>
            <w:tcW w:type="dxa" w:w="4986"/>
          </w:tcPr>
          <w:p>
            <w:r>
              <w:t>3</w:t>
            </w:r>
          </w:p>
        </w:tc>
      </w:tr>
      <w:tr>
        <w:tc>
          <w:tcPr>
            <w:tcW w:type="dxa" w:w="4986"/>
          </w:tcPr>
          <w:p>
            <w:r>
              <w:t>Inversiones</w:t>
            </w:r>
          </w:p>
        </w:tc>
        <w:tc>
          <w:tcPr>
            <w:tcW w:type="dxa" w:w="4986"/>
          </w:tcPr>
          <w:p>
            <w:r>
              <w:t>3</w:t>
            </w:r>
          </w:p>
        </w:tc>
      </w:tr>
    </w:tbl>
    <w:p>
      <w:pPr>
        <w:pStyle w:val="Heading1"/>
      </w:pPr>
      <w:r>
        <w:t>2. Normatividad presupuestal (3)</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16/10/2026 (Ext.)</w:t>
            </w:r>
          </w:p>
        </w:tc>
        <w:tc>
          <w:tcPr>
            <w:tcW w:type="dxa" w:w="1984"/>
          </w:tcPr>
          <w:p>
            <w:r>
              <w:rPr>
                <w:sz w:val="18"/>
              </w:rPr>
              <w:t>ECONOMÍA Y FINANZAS</w:t>
            </w:r>
          </w:p>
        </w:tc>
        <w:tc>
          <w:tcPr>
            <w:tcW w:type="dxa" w:w="2268"/>
          </w:tcPr>
          <w:p>
            <w:r>
              <w:rPr>
                <w:sz w:val="18"/>
              </w:rPr>
            </w:r>
            <w:hyperlink r:id="rId9">
              <w:r>
                <w:rPr>
                  <w:color w:val="0563C1"/>
                  <w:u w:val="single"/>
                </w:rPr>
                <w:t>DECRETO SUPREMO N° 217-2026-EF</w:t>
              </w:r>
            </w:hyperlink>
          </w:p>
        </w:tc>
        <w:tc>
          <w:tcPr>
            <w:tcW w:type="dxa" w:w="4139"/>
          </w:tcPr>
          <w:p>
            <w:r>
              <w:rPr>
                <w:sz w:val="18"/>
              </w:rPr>
              <w:t>Decreto Supremo que autoriza Transferencia de Partidas en el Presupuesto del Sector Público para el Año Fiscal 2026 a favor del Organismo de Focalización e Información Social</w:t>
            </w:r>
          </w:p>
        </w:tc>
      </w:tr>
      <w:tr>
        <w:tc>
          <w:tcPr>
            <w:tcW w:type="dxa" w:w="1247"/>
          </w:tcPr>
          <w:p>
            <w:r>
              <w:rPr>
                <w:sz w:val="18"/>
              </w:rPr>
              <w:t>16/10/2026</w:t>
            </w:r>
          </w:p>
        </w:tc>
        <w:tc>
          <w:tcPr>
            <w:tcW w:type="dxa" w:w="1984"/>
          </w:tcPr>
          <w:p>
            <w:r>
              <w:rPr>
                <w:sz w:val="18"/>
              </w:rPr>
              <w:t>TRABAJO Y PROMOCIÓN DEL EMPLEO</w:t>
            </w:r>
          </w:p>
        </w:tc>
        <w:tc>
          <w:tcPr>
            <w:tcW w:type="dxa" w:w="2268"/>
          </w:tcPr>
          <w:p>
            <w:r>
              <w:rPr>
                <w:sz w:val="18"/>
              </w:rPr>
            </w:r>
            <w:hyperlink r:id="rId10">
              <w:r>
                <w:rPr>
                  <w:color w:val="0563C1"/>
                  <w:u w:val="single"/>
                </w:rPr>
                <w:t>DECRETO SUPREMO  N° 017-2026-TR</w:t>
              </w:r>
            </w:hyperlink>
          </w:p>
        </w:tc>
        <w:tc>
          <w:tcPr>
            <w:tcW w:type="dxa" w:w="4139"/>
          </w:tcPr>
          <w:p>
            <w:r>
              <w:rPr>
                <w:sz w:val="18"/>
              </w:rPr>
              <w:t>Decreto Supremo que autoriza la Transferencia Financiera del Aporte Total del Programa de Empleo Temporal Llamkasun Perú a favor de la Municipalidad Provincial de Antonio Raymondi en virtud del Convenio de Ejecución de Proyecto de Inversión (PIR-08)</w:t>
            </w:r>
          </w:p>
        </w:tc>
      </w:tr>
      <w:tr>
        <w:tc>
          <w:tcPr>
            <w:tcW w:type="dxa" w:w="1247"/>
          </w:tcPr>
          <w:p>
            <w:r>
              <w:rPr>
                <w:sz w:val="18"/>
              </w:rPr>
              <w:t>16/10/2026</w:t>
            </w:r>
          </w:p>
        </w:tc>
        <w:tc>
          <w:tcPr>
            <w:tcW w:type="dxa" w:w="1984"/>
          </w:tcPr>
          <w:p>
            <w:r>
              <w:rPr>
                <w:sz w:val="18"/>
              </w:rPr>
              <w:t>TRABAJO Y PROMOCIÓN DEL EMPLEO</w:t>
            </w:r>
          </w:p>
        </w:tc>
        <w:tc>
          <w:tcPr>
            <w:tcW w:type="dxa" w:w="2268"/>
          </w:tcPr>
          <w:p>
            <w:r>
              <w:rPr>
                <w:sz w:val="18"/>
              </w:rPr>
            </w:r>
            <w:hyperlink r:id="rId11">
              <w:r>
                <w:rPr>
                  <w:color w:val="0563C1"/>
                  <w:u w:val="single"/>
                </w:rPr>
                <w:t>DECRETO SUPREMO  N° 018-2026-TR</w:t>
              </w:r>
            </w:hyperlink>
          </w:p>
        </w:tc>
        <w:tc>
          <w:tcPr>
            <w:tcW w:type="dxa" w:w="4139"/>
          </w:tcPr>
          <w:p>
            <w:r>
              <w:rPr>
                <w:sz w:val="18"/>
              </w:rPr>
              <w:t>Decreto Supremo que autoriza la Transferencia Financiera del Aporte Total del Programa de Empleo Temporal Llamkasun Perú a favor de la Municipalidad Distrital de Atico en virtud del Convenio de Ejecución de Actividad de Intervención Inmediata (AII-94) en el marco del Decreto Supremo N° 118-2026-PCM</w:t>
            </w:r>
          </w:p>
        </w:tc>
      </w:tr>
    </w:tbl>
    <w:p/>
    <w:p>
      <w:pPr>
        <w:pStyle w:val="Heading3"/>
      </w:pPr>
      <w:r>
        <w:t>DECRETO SUPREMO N° 217-2026-EF</w:t>
      </w:r>
    </w:p>
    <w:p>
      <w:r>
        <w:rPr>
          <w:b/>
        </w:rPr>
        <w:t xml:space="preserve">Entidad: </w:t>
      </w:r>
      <w:r>
        <w:t xml:space="preserve">ECONOMÍA Y FINANZAS   </w:t>
      </w:r>
      <w:r>
        <w:rPr>
          <w:b/>
        </w:rPr>
        <w:t xml:space="preserve">Fecha: </w:t>
      </w:r>
      <w:r>
        <w:t>16/10/2026  (Edición Extraordinaria)</w:t>
      </w:r>
    </w:p>
    <w:p>
      <w:r>
        <w:rPr>
          <w:b/>
        </w:rPr>
        <w:t xml:space="preserve">Temas: </w:t>
      </w:r>
      <w:r>
        <w:t>Normatividad presupuestal</w:t>
      </w:r>
    </w:p>
    <w:p>
      <w:r>
        <w:rPr>
          <w:b/>
        </w:rPr>
        <w:t xml:space="preserve">Sumilla: </w:t>
      </w:r>
      <w:r>
        <w:t>Decreto Supremo que autoriza Transferencia de Partidas en el Presupuesto del Sector Público para el Año Fiscal 2026 a favor del Organismo de Focalización e Información Social</w:t>
      </w:r>
    </w:p>
    <w:p>
      <w:r>
        <w:rPr>
          <w:b/>
        </w:rPr>
        <w:t xml:space="preserve">Dispone: </w:t>
      </w:r>
      <w:r>
        <w:t>Artículo 1.- Objeto Se autoriza una Transferencia de Partidas en el Presupuesto del Sector Público para el Año Fiscal 2026, hasta por la suma de S/ 1 290 578,00 (UN MILLÓN DOSCIENTOS NOVENTA MIL QUINIENTOS SETENTA Y OCHO Y 00/100 SOLES), por la fuente de financiamiento Recursos Ordinarios, a favor del Organismo de Focalización e Información Social, para financiar acciones de fortalecimiento institucional, en su calidad de ente conductor del Sistema Nacional de Focalización, orientadas a optimizar la gestión, interoperabilidad e integración de la información social, contribuyendo al cumplimiento de los Objetivos Prioritarios de la Política Nacional de Desarrollo e Inclusión Social al 2030,…</w:t>
      </w:r>
    </w:p>
    <w:p>
      <w:r>
        <w:rPr>
          <w:b/>
        </w:rPr>
        <w:t xml:space="preserve">Montos citados: </w:t>
      </w:r>
      <w:r>
        <w:t>S/ 1</w:t>
      </w:r>
    </w:p>
    <w:p>
      <w:hyperlink r:id="rId9">
        <w:r>
          <w:rPr>
            <w:color w:val="0563C1"/>
            <w:u w:val="single"/>
          </w:rPr>
          <w:t>Ver texto completo</w:t>
        </w:r>
      </w:hyperlink>
      <w:r>
        <w:t xml:space="preserve">   </w:t>
      </w:r>
      <w:hyperlink r:id="rId12">
        <w:r>
          <w:rPr>
            <w:color w:val="0563C1"/>
            <w:u w:val="single"/>
          </w:rPr>
          <w:t>Ver en El Peruano</w:t>
        </w:r>
      </w:hyperlink>
      <w:r>
        <w:t xml:space="preserve">   </w:t>
      </w:r>
      <w:hyperlink r:id="rId13">
        <w:r>
          <w:rPr>
            <w:color w:val="0563C1"/>
            <w:u w:val="single"/>
          </w:rPr>
          <w:t>PDF</w:t>
        </w:r>
      </w:hyperlink>
    </w:p>
    <w:p>
      <w:pPr>
        <w:pStyle w:val="Heading3"/>
      </w:pPr>
      <w:r>
        <w:t>DECRETO SUPREMO  N° 017-2026-TR</w:t>
      </w:r>
    </w:p>
    <w:p>
      <w:r>
        <w:rPr>
          <w:b/>
        </w:rPr>
        <w:t xml:space="preserve">Entidad: </w:t>
      </w:r>
      <w:r>
        <w:t xml:space="preserve">TRABAJO Y PROMOCIÓN DEL EMPLEO   </w:t>
      </w:r>
      <w:r>
        <w:rPr>
          <w:b/>
        </w:rPr>
        <w:t xml:space="preserve">Fecha: </w:t>
      </w:r>
      <w:r>
        <w:t>16/10/2026</w:t>
      </w:r>
    </w:p>
    <w:p>
      <w:r>
        <w:rPr>
          <w:b/>
        </w:rPr>
        <w:t xml:space="preserve">Temas: </w:t>
      </w:r>
      <w:r>
        <w:t>Normatividad presupuestal, Inversiones</w:t>
      </w:r>
    </w:p>
    <w:p>
      <w:r>
        <w:rPr>
          <w:b/>
        </w:rPr>
        <w:t xml:space="preserve">Sumilla: </w:t>
      </w:r>
      <w:r>
        <w:t>Decreto Supremo que autoriza la Transferencia Financiera del Aporte Total del Programa de Empleo Temporal Llamkasun Perú a favor de la Municipalidad Provincial de Antonio Raymondi en virtud del Convenio de Ejecución de Proyecto de Inversión (PIR-08)</w:t>
      </w:r>
    </w:p>
    <w:p>
      <w:r>
        <w:rPr>
          <w:b/>
        </w:rPr>
        <w:t xml:space="preserve">Dispone: </w:t>
      </w:r>
      <w:r>
        <w:t>Artículo 1.- Objeto Se autoriza la transferencia financiera del Programa de Empleo Temporal “Llamkasun Perú” a favor de la Municipalidad Provincial de Antonio Raymondi, con la cual se ha suscrito un (1) convenio con el objeto de financiar la ejecución de un (1) proyecto de inversión (PIR-08), que forma parte del ámbito de la focalización geográfica aplicable al Programa - 2026-II, por el importe total de S/ 890 700,00 (Ochocientos Noventa Mil Setecientos y 00/100 Soles), conforme al Anexo que forma parte integrante del presente Decreto Supremo. Artículo 2.- Financiamiento La transferencia financiera autorizada en el artículo 1 del presente Decreto Supremo se atiende con cargo al presupuesto…</w:t>
      </w:r>
    </w:p>
    <w:p>
      <w:r>
        <w:rPr>
          <w:b/>
        </w:rPr>
        <w:t xml:space="preserve">Montos citados: </w:t>
      </w:r>
      <w:r>
        <w:t>S/ 890</w:t>
      </w:r>
    </w:p>
    <w:p>
      <w:hyperlink r:id="rId10">
        <w:r>
          <w:rPr>
            <w:color w:val="0563C1"/>
            <w:u w:val="single"/>
          </w:rPr>
          <w:t>Ver texto completo</w:t>
        </w:r>
      </w:hyperlink>
      <w:r>
        <w:t xml:space="preserve">   </w:t>
      </w:r>
      <w:hyperlink r:id="rId14">
        <w:r>
          <w:rPr>
            <w:color w:val="0563C1"/>
            <w:u w:val="single"/>
          </w:rPr>
          <w:t>Ver en El Peruano</w:t>
        </w:r>
      </w:hyperlink>
      <w:r>
        <w:t xml:space="preserve">   </w:t>
      </w:r>
      <w:hyperlink r:id="rId15">
        <w:r>
          <w:rPr>
            <w:color w:val="0563C1"/>
            <w:u w:val="single"/>
          </w:rPr>
          <w:t>PDF</w:t>
        </w:r>
      </w:hyperlink>
    </w:p>
    <w:p>
      <w:pPr>
        <w:pStyle w:val="Heading3"/>
      </w:pPr>
      <w:r>
        <w:t>DECRETO SUPREMO  N° 018-2026-TR</w:t>
      </w:r>
    </w:p>
    <w:p>
      <w:r>
        <w:rPr>
          <w:b/>
        </w:rPr>
        <w:t xml:space="preserve">Entidad: </w:t>
      </w:r>
      <w:r>
        <w:t xml:space="preserve">TRABAJO Y PROMOCIÓN DEL EMPLEO   </w:t>
      </w:r>
      <w:r>
        <w:rPr>
          <w:b/>
        </w:rPr>
        <w:t xml:space="preserve">Fecha: </w:t>
      </w:r>
      <w:r>
        <w:t>16/10/2026</w:t>
      </w:r>
    </w:p>
    <w:p>
      <w:r>
        <w:rPr>
          <w:b/>
        </w:rPr>
        <w:t xml:space="preserve">Temas: </w:t>
      </w:r>
      <w:r>
        <w:t>Normatividad presupuestal</w:t>
      </w:r>
    </w:p>
    <w:p>
      <w:r>
        <w:rPr>
          <w:b/>
        </w:rPr>
        <w:t xml:space="preserve">Sumilla: </w:t>
      </w:r>
      <w:r>
        <w:t>Decreto Supremo que autoriza la Transferencia Financiera del Aporte Total del Programa de Empleo Temporal Llamkasun Perú a favor de la Municipalidad Distrital de Atico en virtud del Convenio de Ejecución de Actividad de Intervención Inmediata (AII-94) en el marco del Decreto Supremo N° 118-2026-PCM</w:t>
      </w:r>
    </w:p>
    <w:p>
      <w:r>
        <w:rPr>
          <w:b/>
        </w:rPr>
        <w:t xml:space="preserve">Dispone: </w:t>
      </w:r>
      <w:r>
        <w:t>Artículo 1.- Objeto Se autoriza la transferencia financiera del Programa de Empleo Temporal “Llamkasun Perú” a favor de la Municipalidad Distrital de Atico, con la cual se ha suscrito un (1) convenio con el objeto de financiar la ejecución de una (1) Actividad de Intervención Inmediata (AII-94), en el marco del Decreto Supremo N° 118-2026-PCM, Decreto Supremo que declara el Estado de Emergencia en el distrito de Atico de la provincia de Caravelí del departamento de Arequipa, en el distrito de Ilo de la provincia de Ilo del departamento de Moquegua y en el distrito de Cairani de la provincia de Candarave del departamento de Tacna, por impacto de daños a consecuencia de intensas…</w:t>
      </w:r>
    </w:p>
    <w:p>
      <w:r>
        <w:rPr>
          <w:b/>
        </w:rPr>
        <w:t xml:space="preserve">Montos citados: </w:t>
      </w:r>
      <w:r>
        <w:t>S/ 218</w:t>
      </w:r>
    </w:p>
    <w:p>
      <w:hyperlink r:id="rId11">
        <w:r>
          <w:rPr>
            <w:color w:val="0563C1"/>
            <w:u w:val="single"/>
          </w:rPr>
          <w:t>Ver texto completo</w:t>
        </w:r>
      </w:hyperlink>
      <w:r>
        <w:t xml:space="preserve">   </w:t>
      </w:r>
      <w:hyperlink r:id="rId16">
        <w:r>
          <w:rPr>
            <w:color w:val="0563C1"/>
            <w:u w:val="single"/>
          </w:rPr>
          <w:t>Ver en El Peruano</w:t>
        </w:r>
      </w:hyperlink>
      <w:r>
        <w:t xml:space="preserve">   </w:t>
      </w:r>
      <w:hyperlink r:id="rId17">
        <w:r>
          <w:rPr>
            <w:color w:val="0563C1"/>
            <w:u w:val="single"/>
          </w:rPr>
          <w:t>PDF</w:t>
        </w:r>
      </w:hyperlink>
    </w:p>
    <w:p>
      <w:pPr>
        <w:pStyle w:val="Heading1"/>
      </w:pPr>
      <w:r>
        <w:t>3. Inversiones (2)</w:t>
      </w:r>
    </w:p>
    <w:tbl>
      <w:tblPr>
        <w:tblStyle w:val="TableGrid"/>
        <w:tblW w:type="auto" w:w="0"/>
        <w:tblLook w:firstColumn="1" w:firstRow="1" w:lastColumn="0" w:lastRow="0" w:noHBand="0" w:noVBand="1" w:val="04A0"/>
      </w:tblPr>
      <w:tblGrid>
        <w:gridCol w:w="2493"/>
        <w:gridCol w:w="2493"/>
        <w:gridCol w:w="2493"/>
        <w:gridCol w:w="2493"/>
      </w:tblGrid>
      <w:tr>
        <w:tc>
          <w:tcPr>
            <w:tcW w:type="dxa" w:w="1247"/>
            <w:shd w:val="clear" w:color="auto" w:fill="1F4E79"/>
          </w:tcPr>
          <w:p>
            <w:r>
              <w:rPr>
                <w:b/>
                <w:color w:val="FFFFFF"/>
                <w:sz w:val="18"/>
              </w:rPr>
              <w:t>Fecha</w:t>
            </w:r>
          </w:p>
        </w:tc>
        <w:tc>
          <w:tcPr>
            <w:tcW w:type="dxa" w:w="1984"/>
            <w:shd w:val="clear" w:color="auto" w:fill="1F4E79"/>
          </w:tcPr>
          <w:p>
            <w:r>
              <w:rPr>
                <w:b/>
                <w:color w:val="FFFFFF"/>
                <w:sz w:val="18"/>
              </w:rPr>
              <w:t>Entidad</w:t>
            </w:r>
          </w:p>
        </w:tc>
        <w:tc>
          <w:tcPr>
            <w:tcW w:type="dxa" w:w="2268"/>
            <w:shd w:val="clear" w:color="auto" w:fill="1F4E79"/>
          </w:tcPr>
          <w:p>
            <w:r>
              <w:rPr>
                <w:b/>
                <w:color w:val="FFFFFF"/>
                <w:sz w:val="18"/>
              </w:rPr>
              <w:t>Norma</w:t>
            </w:r>
          </w:p>
        </w:tc>
        <w:tc>
          <w:tcPr>
            <w:tcW w:type="dxa" w:w="4139"/>
            <w:shd w:val="clear" w:color="auto" w:fill="1F4E79"/>
          </w:tcPr>
          <w:p>
            <w:r>
              <w:rPr>
                <w:b/>
                <w:color w:val="FFFFFF"/>
                <w:sz w:val="18"/>
              </w:rPr>
              <w:t>Sumilla</w:t>
            </w:r>
          </w:p>
        </w:tc>
      </w:tr>
      <w:tr>
        <w:tc>
          <w:tcPr>
            <w:tcW w:type="dxa" w:w="1247"/>
          </w:tcPr>
          <w:p>
            <w:r>
              <w:rPr>
                <w:sz w:val="18"/>
              </w:rPr>
              <w:t>16/10/2026</w:t>
            </w:r>
          </w:p>
        </w:tc>
        <w:tc>
          <w:tcPr>
            <w:tcW w:type="dxa" w:w="1984"/>
          </w:tcPr>
          <w:p>
            <w:r>
              <w:rPr>
                <w:sz w:val="18"/>
              </w:rPr>
              <w:t>ENERGÍA Y MINAS</w:t>
            </w:r>
          </w:p>
        </w:tc>
        <w:tc>
          <w:tcPr>
            <w:tcW w:type="dxa" w:w="2268"/>
          </w:tcPr>
          <w:p>
            <w:r>
              <w:rPr>
                <w:sz w:val="18"/>
              </w:rPr>
            </w:r>
            <w:hyperlink r:id="rId18">
              <w:r>
                <w:rPr>
                  <w:color w:val="0563C1"/>
                  <w:u w:val="single"/>
                </w:rPr>
                <w:t>RESOLUCIÓN MINISTERIAL  N° 425-2026-MINEM/DM</w:t>
              </w:r>
            </w:hyperlink>
          </w:p>
        </w:tc>
        <w:tc>
          <w:tcPr>
            <w:tcW w:type="dxa" w:w="4139"/>
          </w:tcPr>
          <w:p>
            <w:r>
              <w:rPr>
                <w:sz w:val="18"/>
              </w:rPr>
              <w:t>Aprueban Segunda Modificación al Contrato de Concesión N° 445-2014 otorgado a favor de Minera Bateas S.A.C. para desarrollar actividad de transmisión de energía eléctrica</w:t>
            </w:r>
          </w:p>
        </w:tc>
      </w:tr>
      <w:tr>
        <w:tc>
          <w:tcPr>
            <w:tcW w:type="dxa" w:w="1247"/>
          </w:tcPr>
          <w:p>
            <w:r>
              <w:rPr>
                <w:sz w:val="18"/>
              </w:rPr>
              <w:t>16/10/2026 (Ext.)</w:t>
            </w:r>
          </w:p>
        </w:tc>
        <w:tc>
          <w:tcPr>
            <w:tcW w:type="dxa" w:w="1984"/>
          </w:tcPr>
          <w:p>
            <w:r>
              <w:rPr>
                <w:sz w:val="18"/>
              </w:rPr>
              <w:t>SALUD</w:t>
            </w:r>
          </w:p>
        </w:tc>
        <w:tc>
          <w:tcPr>
            <w:tcW w:type="dxa" w:w="2268"/>
          </w:tcPr>
          <w:p>
            <w:r>
              <w:rPr>
                <w:sz w:val="18"/>
              </w:rPr>
            </w:r>
            <w:hyperlink r:id="rId19">
              <w:r>
                <w:rPr>
                  <w:color w:val="0563C1"/>
                  <w:u w:val="single"/>
                </w:rPr>
                <w:t>RESOLUCIÓN MINISTERIAL N° 926-2026/MINSA</w:t>
              </w:r>
            </w:hyperlink>
          </w:p>
        </w:tc>
        <w:tc>
          <w:tcPr>
            <w:tcW w:type="dxa" w:w="4139"/>
          </w:tcPr>
          <w:p>
            <w:r>
              <w:rPr>
                <w:sz w:val="18"/>
              </w:rPr>
              <w:t>Modifican la Relación de Servicios que pueden ejecutarse mediante el mecanismo de Obras por Impuestos en el marco del Decreto de Urgencia N° 010-2026</w:t>
            </w:r>
          </w:p>
        </w:tc>
      </w:tr>
    </w:tbl>
    <w:p/>
    <w:p>
      <w:pPr>
        <w:pStyle w:val="Heading3"/>
      </w:pPr>
      <w:r>
        <w:t>RESOLUCIÓN MINISTERIAL  N° 425-2026-MINEM/DM</w:t>
      </w:r>
    </w:p>
    <w:p>
      <w:r>
        <w:rPr>
          <w:b/>
        </w:rPr>
        <w:t xml:space="preserve">Entidad: </w:t>
      </w:r>
      <w:r>
        <w:t xml:space="preserve">ENERGÍA Y MINAS   </w:t>
      </w:r>
      <w:r>
        <w:rPr>
          <w:b/>
        </w:rPr>
        <w:t xml:space="preserve">Fecha: </w:t>
      </w:r>
      <w:r>
        <w:t>16/10/2026</w:t>
      </w:r>
    </w:p>
    <w:p>
      <w:r>
        <w:rPr>
          <w:b/>
        </w:rPr>
        <w:t xml:space="preserve">Temas: </w:t>
      </w:r>
      <w:r>
        <w:t>Inversiones</w:t>
      </w:r>
    </w:p>
    <w:p>
      <w:r>
        <w:rPr>
          <w:b/>
        </w:rPr>
        <w:t xml:space="preserve">Sumilla: </w:t>
      </w:r>
      <w:r>
        <w:t>Aprueban Segunda Modificación al Contrato de Concesión N° 445-2014 otorgado a favor de Minera Bateas S.A.C. para desarrollar actividad de transmisión de energía eléctrica</w:t>
      </w:r>
    </w:p>
    <w:p>
      <w:r>
        <w:rPr>
          <w:b/>
        </w:rPr>
        <w:t xml:space="preserve">Dispone: </w:t>
      </w:r>
      <w:r>
        <w:t>Artículo 1.- Declarar la resolución ficta que por silencio administrativo positivo reconoció, con fecha 05 de febrero de 2026, a favor de la empresa MINERA BATEAS S.A.C., la modificación de la concesión definitiva para desarrollar la actividad de transmisión de energía eléctrica de la “Línea de Transmisión en 15 kV S.E. Caylloma - S.E. Casa de Fuerza Bateas (Huayllacho)”. Artículo 2.- Aprobar el texto de la minuta de la Segunda Modificación al Contrato de Concesión Nº 445-2014, solicitada por la empresa MINERA BATEAS S.A.C., a fin de modificar los numerales 1.1 y 1.3 de la Cláusula Primera, los literales d), e) y f) del numeral 2 y el numeral 3 del Anexo Nº 2, por la razones y fundamentos…</w:t>
      </w:r>
    </w:p>
    <w:p>
      <w:hyperlink r:id="rId18">
        <w:r>
          <w:rPr>
            <w:color w:val="0563C1"/>
            <w:u w:val="single"/>
          </w:rPr>
          <w:t>Ver texto completo</w:t>
        </w:r>
      </w:hyperlink>
      <w:r>
        <w:t xml:space="preserve">   </w:t>
      </w:r>
      <w:hyperlink r:id="rId20">
        <w:r>
          <w:rPr>
            <w:color w:val="0563C1"/>
            <w:u w:val="single"/>
          </w:rPr>
          <w:t>Ver en El Peruano</w:t>
        </w:r>
      </w:hyperlink>
      <w:r>
        <w:t xml:space="preserve">   </w:t>
      </w:r>
      <w:hyperlink r:id="rId21">
        <w:r>
          <w:rPr>
            <w:color w:val="0563C1"/>
            <w:u w:val="single"/>
          </w:rPr>
          <w:t>PDF</w:t>
        </w:r>
      </w:hyperlink>
    </w:p>
    <w:p>
      <w:pPr>
        <w:pStyle w:val="Heading3"/>
      </w:pPr>
      <w:r>
        <w:t>RESOLUCIÓN MINISTERIAL N° 926-2026/MINSA</w:t>
      </w:r>
    </w:p>
    <w:p>
      <w:r>
        <w:rPr>
          <w:b/>
        </w:rPr>
        <w:t xml:space="preserve">Entidad: </w:t>
      </w:r>
      <w:r>
        <w:t xml:space="preserve">SALUD   </w:t>
      </w:r>
      <w:r>
        <w:rPr>
          <w:b/>
        </w:rPr>
        <w:t xml:space="preserve">Fecha: </w:t>
      </w:r>
      <w:r>
        <w:t>16/10/2026  (Edición Extraordinaria)</w:t>
      </w:r>
    </w:p>
    <w:p>
      <w:r>
        <w:rPr>
          <w:b/>
        </w:rPr>
        <w:t xml:space="preserve">Temas: </w:t>
      </w:r>
      <w:r>
        <w:t>Inversiones</w:t>
      </w:r>
    </w:p>
    <w:p>
      <w:r>
        <w:rPr>
          <w:b/>
        </w:rPr>
        <w:t xml:space="preserve">Sumilla: </w:t>
      </w:r>
      <w:r>
        <w:t>Modifican la Relación de Servicios que pueden ejecutarse mediante el mecanismo de Obras por Impuestos en el marco del Decreto de Urgencia N° 010-2026</w:t>
      </w:r>
    </w:p>
    <w:p>
      <w:r>
        <w:rPr>
          <w:b/>
        </w:rPr>
        <w:t xml:space="preserve">Dispone: </w:t>
      </w:r>
      <w:r>
        <w:t>Artículo 1.- Incorporar ocho (8) servicios a la “Relación de Servicios que pueden ejecutarse mediante el mecanismo de Obras por Impuestos, en el marco de lo dispuesto en el numeral 4.2 del artículo 4 y la Quinta Disposición Complementaria Final del Decreto de Urgencia Nº 010-2026”, aprobada por Resolución Ministerial Nº 808-2026/MINSA, que como Anexo I forma parte integrante de la presente Resolución Ministerial. Artículo 2.- Modificar los servicios identificados con los códigos FT FEN Sxl-2026-017-SA, FT FEN Sxl-2026-018-SA y FT FEN Sxl-2026-019-SA de la “Relación de Servicios que pueden ejecutarse mediante el mecanismo de Obras por Impuestos, en el marco de lo dispuesto en el numeral 4.2…</w:t>
      </w:r>
    </w:p>
    <w:p>
      <w:hyperlink r:id="rId19">
        <w:r>
          <w:rPr>
            <w:color w:val="0563C1"/>
            <w:u w:val="single"/>
          </w:rPr>
          <w:t>Ver texto completo</w:t>
        </w:r>
      </w:hyperlink>
      <w:r>
        <w:t xml:space="preserve">   </w:t>
      </w:r>
      <w:hyperlink r:id="rId22">
        <w:r>
          <w:rPr>
            <w:color w:val="0563C1"/>
            <w:u w:val="single"/>
          </w:rPr>
          <w:t>Ver en El Peruano</w:t>
        </w:r>
      </w:hyperlink>
      <w:r>
        <w:t xml:space="preserve">   </w:t>
      </w:r>
      <w:hyperlink r:id="rId23">
        <w:r>
          <w:rPr>
            <w:color w:val="0563C1"/>
            <w:u w:val="single"/>
          </w:rPr>
          <w:t>PDF</w:t>
        </w:r>
      </w:hyperlink>
    </w:p>
    <w:sectPr w:rsidR="00FC693F" w:rsidRPr="0006063C" w:rsidSect="00034616">
      <w:pgSz w:w="12240" w:h="158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usquedas.elperuano.pe/api/visor_html/2565747-1" TargetMode="External"/><Relationship Id="rId10" Type="http://schemas.openxmlformats.org/officeDocument/2006/relationships/hyperlink" Target="https://busquedas.elperuano.pe/api/visor_html/2565250-1" TargetMode="External"/><Relationship Id="rId11" Type="http://schemas.openxmlformats.org/officeDocument/2006/relationships/hyperlink" Target="https://busquedas.elperuano.pe/api/visor_html/2565250-2" TargetMode="External"/><Relationship Id="rId12" Type="http://schemas.openxmlformats.org/officeDocument/2006/relationships/hyperlink" Target="https://busquedas.elperuano.pe/dispositivo/EX/2565747-1" TargetMode="External"/><Relationship Id="rId13" Type="http://schemas.openxmlformats.org/officeDocument/2006/relationships/hyperlink" Target="https://busquedas.elperuano.pe/dispositivo/EX/2565747-1/pdf" TargetMode="External"/><Relationship Id="rId14" Type="http://schemas.openxmlformats.org/officeDocument/2006/relationships/hyperlink" Target="https://busquedas.elperuano.pe/dispositivo/NL/2565250-1" TargetMode="External"/><Relationship Id="rId15" Type="http://schemas.openxmlformats.org/officeDocument/2006/relationships/hyperlink" Target="https://busquedas.elperuano.pe/dispositivo/NL/2565250-1/pdf" TargetMode="External"/><Relationship Id="rId16" Type="http://schemas.openxmlformats.org/officeDocument/2006/relationships/hyperlink" Target="https://busquedas.elperuano.pe/dispositivo/NL/2565250-2" TargetMode="External"/><Relationship Id="rId17" Type="http://schemas.openxmlformats.org/officeDocument/2006/relationships/hyperlink" Target="https://busquedas.elperuano.pe/dispositivo/NL/2565250-2/pdf" TargetMode="External"/><Relationship Id="rId18" Type="http://schemas.openxmlformats.org/officeDocument/2006/relationships/hyperlink" Target="https://busquedas.elperuano.pe/api/visor_html/2561656-1" TargetMode="External"/><Relationship Id="rId19" Type="http://schemas.openxmlformats.org/officeDocument/2006/relationships/hyperlink" Target="https://busquedas.elperuano.pe/api/visor_html/2565439-1" TargetMode="External"/><Relationship Id="rId20" Type="http://schemas.openxmlformats.org/officeDocument/2006/relationships/hyperlink" Target="https://busquedas.elperuano.pe/dispositivo/NL/2561656-1" TargetMode="External"/><Relationship Id="rId21" Type="http://schemas.openxmlformats.org/officeDocument/2006/relationships/hyperlink" Target="https://busquedas.elperuano.pe/dispositivo/NL/2561656-1/pdf" TargetMode="External"/><Relationship Id="rId22" Type="http://schemas.openxmlformats.org/officeDocument/2006/relationships/hyperlink" Target="https://busquedas.elperuano.pe/dispositivo/EX/2565439-1" TargetMode="External"/><Relationship Id="rId23" Type="http://schemas.openxmlformats.org/officeDocument/2006/relationships/hyperlink" Target="https://busquedas.elperuano.pe/dispositivo/EX/256543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