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Resumen de Normas Legales – Diario Oficial El Peruano</w:t>
      </w:r>
    </w:p>
    <w:p>
      <w:pPr>
        <w:jc w:val="center"/>
      </w:pPr>
      <w:r>
        <w:rPr>
          <w:b/>
        </w:rPr>
        <w:t>Periodo revisado: 19/10/2026</w:t>
        <w:br/>
      </w:r>
      <w:r>
        <w:t>Generado: 26/10/2026 10:27  ·  Fuente: diariooficial.elperuano.pe</w:t>
      </w:r>
    </w:p>
    <w:p>
      <w:pPr>
        <w:pStyle w:val="Heading1"/>
      </w:pPr>
      <w:r>
        <w:t>1. Resumen ejecutivo</w:t>
      </w:r>
    </w:p>
    <w:p>
      <w:r>
        <w:t>Se revisaron 19 normas publicadas en el periodo. 6 resultan de interés para la ATU por tratar sobre la entidad, la normatividad presupuestal o las inversiones.</w:t>
      </w:r>
    </w:p>
    <w:tbl>
      <w:tblPr>
        <w:tblStyle w:val="LightGrid-Accent1"/>
        <w:tblW w:type="auto" w:w="0"/>
        <w:tblLook w:firstColumn="1" w:firstRow="1" w:lastColumn="0" w:lastRow="0" w:noHBand="0" w:noVBand="1" w:val="04A0"/>
      </w:tblPr>
      <w:tblGrid>
        <w:gridCol w:w="4986"/>
        <w:gridCol w:w="4986"/>
      </w:tblGrid>
      <w:tr>
        <w:tc>
          <w:tcPr>
            <w:tcW w:type="dxa" w:w="4986"/>
          </w:tcPr>
          <w:p>
            <w:r>
              <w:t>Tema</w:t>
            </w:r>
          </w:p>
        </w:tc>
        <w:tc>
          <w:tcPr>
            <w:tcW w:type="dxa" w:w="4986"/>
          </w:tcPr>
          <w:p>
            <w:r>
              <w:t>N.° de normas</w:t>
            </w:r>
          </w:p>
        </w:tc>
      </w:tr>
      <w:tr>
        <w:tc>
          <w:tcPr>
            <w:tcW w:type="dxa" w:w="4986"/>
          </w:tcPr>
          <w:p>
            <w:r>
              <w:t>ATU y transporte urbano</w:t>
            </w:r>
          </w:p>
        </w:tc>
        <w:tc>
          <w:tcPr>
            <w:tcW w:type="dxa" w:w="4986"/>
          </w:tcPr>
          <w:p>
            <w:r>
              <w:t>2</w:t>
            </w:r>
          </w:p>
        </w:tc>
      </w:tr>
      <w:tr>
        <w:tc>
          <w:tcPr>
            <w:tcW w:type="dxa" w:w="4986"/>
          </w:tcPr>
          <w:p>
            <w:r>
              <w:t>Normatividad presupuestal</w:t>
            </w:r>
          </w:p>
        </w:tc>
        <w:tc>
          <w:tcPr>
            <w:tcW w:type="dxa" w:w="4986"/>
          </w:tcPr>
          <w:p>
            <w:r>
              <w:t>0</w:t>
            </w:r>
          </w:p>
        </w:tc>
      </w:tr>
      <w:tr>
        <w:tc>
          <w:tcPr>
            <w:tcW w:type="dxa" w:w="4986"/>
          </w:tcPr>
          <w:p>
            <w:r>
              <w:t>Inversiones</w:t>
            </w:r>
          </w:p>
        </w:tc>
        <w:tc>
          <w:tcPr>
            <w:tcW w:type="dxa" w:w="4986"/>
          </w:tcPr>
          <w:p>
            <w:r>
              <w:t>4</w:t>
            </w:r>
          </w:p>
        </w:tc>
      </w:tr>
    </w:tbl>
    <w:p/>
    <w:p>
      <w:r>
        <w:rPr>
          <w:b/>
          <w:color w:val="C00000"/>
        </w:rPr>
        <w:t>Atención – normas que mencionan a la ATU o al transporte urbano de Lima y Callao:</w:t>
      </w:r>
    </w:p>
    <w:p>
      <w:pPr>
        <w:pStyle w:val="ListBullet"/>
      </w:pPr>
      <w:r>
        <w:t>RESOLUCIÓN  N° 237-2026-ATU/PE (AUTORIDAD DE TRANSPORTE URBANO PARA LIMA Y CALLAO): Designan Asesora de Gerencia General de la ATU</w:t>
      </w:r>
    </w:p>
    <w:p>
      <w:pPr>
        <w:pStyle w:val="ListBullet"/>
      </w:pPr>
      <w:r>
        <w:t>RESOLUCIÓN  N° 242-2026-ATU/PE (AUTORIDAD DE TRANSPORTE URBANO PARA LIMA Y CALLAO): Designan Ejecutiva de la Unidad de Abastecimiento de la Oficina de Administración de la ATU</w:t>
      </w:r>
    </w:p>
    <w:p>
      <w:pPr>
        <w:pStyle w:val="Heading1"/>
      </w:pPr>
      <w:r>
        <w:t>2. ATU y transporte urbano (2)</w:t>
      </w:r>
    </w:p>
    <w:tbl>
      <w:tblPr>
        <w:tblStyle w:val="TableGrid"/>
        <w:tblW w:type="auto" w:w="0"/>
        <w:tblLook w:firstColumn="1" w:firstRow="1" w:lastColumn="0" w:lastRow="0" w:noHBand="0" w:noVBand="1" w:val="04A0"/>
      </w:tblPr>
      <w:tblGrid>
        <w:gridCol w:w="2493"/>
        <w:gridCol w:w="2493"/>
        <w:gridCol w:w="2493"/>
        <w:gridCol w:w="2493"/>
      </w:tblGrid>
      <w:tr>
        <w:tc>
          <w:tcPr>
            <w:tcW w:type="dxa" w:w="1247"/>
            <w:shd w:val="clear" w:color="auto" w:fill="1F4E79"/>
          </w:tcPr>
          <w:p>
            <w:r>
              <w:rPr>
                <w:b/>
                <w:color w:val="FFFFFF"/>
                <w:sz w:val="18"/>
              </w:rPr>
              <w:t>Fecha</w:t>
            </w:r>
          </w:p>
        </w:tc>
        <w:tc>
          <w:tcPr>
            <w:tcW w:type="dxa" w:w="1984"/>
            <w:shd w:val="clear" w:color="auto" w:fill="1F4E79"/>
          </w:tcPr>
          <w:p>
            <w:r>
              <w:rPr>
                <w:b/>
                <w:color w:val="FFFFFF"/>
                <w:sz w:val="18"/>
              </w:rPr>
              <w:t>Entidad</w:t>
            </w:r>
          </w:p>
        </w:tc>
        <w:tc>
          <w:tcPr>
            <w:tcW w:type="dxa" w:w="2268"/>
            <w:shd w:val="clear" w:color="auto" w:fill="1F4E79"/>
          </w:tcPr>
          <w:p>
            <w:r>
              <w:rPr>
                <w:b/>
                <w:color w:val="FFFFFF"/>
                <w:sz w:val="18"/>
              </w:rPr>
              <w:t>Norma</w:t>
            </w:r>
          </w:p>
        </w:tc>
        <w:tc>
          <w:tcPr>
            <w:tcW w:type="dxa" w:w="4139"/>
            <w:shd w:val="clear" w:color="auto" w:fill="1F4E79"/>
          </w:tcPr>
          <w:p>
            <w:r>
              <w:rPr>
                <w:b/>
                <w:color w:val="FFFFFF"/>
                <w:sz w:val="18"/>
              </w:rPr>
              <w:t>Sumilla</w:t>
            </w:r>
          </w:p>
        </w:tc>
      </w:tr>
      <w:tr>
        <w:tc>
          <w:tcPr>
            <w:tcW w:type="dxa" w:w="1247"/>
          </w:tcPr>
          <w:p>
            <w:r>
              <w:rPr>
                <w:sz w:val="18"/>
              </w:rPr>
              <w:t>19/10/2026</w:t>
            </w:r>
          </w:p>
        </w:tc>
        <w:tc>
          <w:tcPr>
            <w:tcW w:type="dxa" w:w="1984"/>
          </w:tcPr>
          <w:p>
            <w:r>
              <w:rPr>
                <w:sz w:val="18"/>
              </w:rPr>
              <w:t>AUTORIDAD DE TRANSPORTE URBANO PARA LIMA Y CALLAO</w:t>
            </w:r>
          </w:p>
        </w:tc>
        <w:tc>
          <w:tcPr>
            <w:tcW w:type="dxa" w:w="2268"/>
          </w:tcPr>
          <w:p>
            <w:r>
              <w:rPr>
                <w:sz w:val="18"/>
              </w:rPr>
            </w:r>
            <w:hyperlink r:id="rId9">
              <w:r>
                <w:rPr>
                  <w:color w:val="0563C1"/>
                  <w:u w:val="single"/>
                </w:rPr>
                <w:t>RESOLUCIÓN  N° 237-2026-ATU/PE</w:t>
              </w:r>
            </w:hyperlink>
          </w:p>
        </w:tc>
        <w:tc>
          <w:tcPr>
            <w:tcW w:type="dxa" w:w="4139"/>
          </w:tcPr>
          <w:p>
            <w:r>
              <w:rPr>
                <w:sz w:val="18"/>
              </w:rPr>
              <w:t>Designan Asesora de Gerencia General de la ATU</w:t>
            </w:r>
          </w:p>
        </w:tc>
      </w:tr>
      <w:tr>
        <w:tc>
          <w:tcPr>
            <w:tcW w:type="dxa" w:w="1247"/>
          </w:tcPr>
          <w:p>
            <w:r>
              <w:rPr>
                <w:sz w:val="18"/>
              </w:rPr>
              <w:t>19/10/2026</w:t>
            </w:r>
          </w:p>
        </w:tc>
        <w:tc>
          <w:tcPr>
            <w:tcW w:type="dxa" w:w="1984"/>
          </w:tcPr>
          <w:p>
            <w:r>
              <w:rPr>
                <w:sz w:val="18"/>
              </w:rPr>
              <w:t>AUTORIDAD DE TRANSPORTE URBANO PARA LIMA Y CALLAO</w:t>
            </w:r>
          </w:p>
        </w:tc>
        <w:tc>
          <w:tcPr>
            <w:tcW w:type="dxa" w:w="2268"/>
          </w:tcPr>
          <w:p>
            <w:r>
              <w:rPr>
                <w:sz w:val="18"/>
              </w:rPr>
            </w:r>
            <w:hyperlink r:id="rId10">
              <w:r>
                <w:rPr>
                  <w:color w:val="0563C1"/>
                  <w:u w:val="single"/>
                </w:rPr>
                <w:t>RESOLUCIÓN  N° 242-2026-ATU/PE</w:t>
              </w:r>
            </w:hyperlink>
          </w:p>
        </w:tc>
        <w:tc>
          <w:tcPr>
            <w:tcW w:type="dxa" w:w="4139"/>
          </w:tcPr>
          <w:p>
            <w:r>
              <w:rPr>
                <w:sz w:val="18"/>
              </w:rPr>
              <w:t>Designan Ejecutiva de la Unidad de Abastecimiento de la Oficina de Administración de la ATU</w:t>
            </w:r>
          </w:p>
        </w:tc>
      </w:tr>
    </w:tbl>
    <w:p/>
    <w:p>
      <w:pPr>
        <w:pStyle w:val="Heading3"/>
      </w:pPr>
      <w:r>
        <w:t>RESOLUCIÓN  N° 237-2026-ATU/PE</w:t>
      </w:r>
    </w:p>
    <w:p>
      <w:r>
        <w:rPr>
          <w:b/>
        </w:rPr>
        <w:t xml:space="preserve">Entidad: </w:t>
      </w:r>
      <w:r>
        <w:t xml:space="preserve">AUTORIDAD DE TRANSPORTE URBANO PARA LIMA Y CALLAO   </w:t>
      </w:r>
      <w:r>
        <w:rPr>
          <w:b/>
        </w:rPr>
        <w:t xml:space="preserve">Fecha: </w:t>
      </w:r>
      <w:r>
        <w:t>19/10/2026</w:t>
      </w:r>
    </w:p>
    <w:p>
      <w:r>
        <w:rPr>
          <w:b/>
        </w:rPr>
        <w:t xml:space="preserve">Temas: </w:t>
      </w:r>
      <w:r>
        <w:t>ATU y transporte urbano</w:t>
      </w:r>
    </w:p>
    <w:p>
      <w:r>
        <w:rPr>
          <w:b/>
        </w:rPr>
        <w:t xml:space="preserve">Sumilla: </w:t>
      </w:r>
      <w:r>
        <w:t>Designan Asesora de Gerencia General de la ATU</w:t>
      </w:r>
    </w:p>
    <w:p>
      <w:r>
        <w:rPr>
          <w:b/>
        </w:rPr>
        <w:t xml:space="preserve">Dispone: </w:t>
      </w:r>
      <w:r>
        <w:t>Artículo 1 .- Designar, a partir del día 19 de octubre de 2026, a la señora KATHY HELEN ROMERO HARO en el puesto de Asesora de Gerencia General con Código AIRHSP N° 003942 de la Autoridad de Transporte Urbano para Lima y Callao - ATU. Artículo 2 .- Notificar la presente resolución a la señora KATHY HELEN ROMERO HARO y a la Oficina de Gestión de Recursos Humanos, para los fines pertinentes. Artículo 3 .- Disponer la publicación de la presente resolución en el Diario Oficial “El Peruano” y en la sede digital de la Autoridad de Transporte Urbano para Lima y Callao - ATU ( https://www.gob.pe/atu ). Regístrese, comuníquese y publíquese. DAVID AUGUSTO HERNÁNDEZ SALAZAR Presidente Ejecutivo…</w:t>
      </w:r>
    </w:p>
    <w:p>
      <w:hyperlink r:id="rId9">
        <w:r>
          <w:rPr>
            <w:color w:val="0563C1"/>
            <w:u w:val="single"/>
          </w:rPr>
          <w:t>Ver texto completo</w:t>
        </w:r>
      </w:hyperlink>
      <w:r>
        <w:t xml:space="preserve">   </w:t>
      </w:r>
      <w:hyperlink r:id="rId11">
        <w:r>
          <w:rPr>
            <w:color w:val="0563C1"/>
            <w:u w:val="single"/>
          </w:rPr>
          <w:t>Ver en El Peruano</w:t>
        </w:r>
      </w:hyperlink>
      <w:r>
        <w:t xml:space="preserve">   </w:t>
      </w:r>
      <w:hyperlink r:id="rId12">
        <w:r>
          <w:rPr>
            <w:color w:val="0563C1"/>
            <w:u w:val="single"/>
          </w:rPr>
          <w:t>PDF</w:t>
        </w:r>
      </w:hyperlink>
    </w:p>
    <w:p>
      <w:pPr>
        <w:pStyle w:val="Heading3"/>
      </w:pPr>
      <w:r>
        <w:t>RESOLUCIÓN  N° 242-2026-ATU/PE</w:t>
      </w:r>
    </w:p>
    <w:p>
      <w:r>
        <w:rPr>
          <w:b/>
        </w:rPr>
        <w:t xml:space="preserve">Entidad: </w:t>
      </w:r>
      <w:r>
        <w:t xml:space="preserve">AUTORIDAD DE TRANSPORTE URBANO PARA LIMA Y CALLAO   </w:t>
      </w:r>
      <w:r>
        <w:rPr>
          <w:b/>
        </w:rPr>
        <w:t xml:space="preserve">Fecha: </w:t>
      </w:r>
      <w:r>
        <w:t>19/10/2026</w:t>
      </w:r>
    </w:p>
    <w:p>
      <w:r>
        <w:rPr>
          <w:b/>
        </w:rPr>
        <w:t xml:space="preserve">Temas: </w:t>
      </w:r>
      <w:r>
        <w:t>ATU y transporte urbano</w:t>
      </w:r>
    </w:p>
    <w:p>
      <w:r>
        <w:rPr>
          <w:b/>
        </w:rPr>
        <w:t xml:space="preserve">Sumilla: </w:t>
      </w:r>
      <w:r>
        <w:t>Designan Ejecutiva de la Unidad de Abastecimiento de la Oficina de Administración de la ATU</w:t>
      </w:r>
    </w:p>
    <w:p>
      <w:r>
        <w:rPr>
          <w:b/>
        </w:rPr>
        <w:t xml:space="preserve">Dispone: </w:t>
      </w:r>
      <w:r>
        <w:t>Artículo 1 .- Designar, a partir del día 19 de octubre de 2026, a la señora TALIA LISSETH RODRÍGUEZ PEÑA en el puesto de Ejecutiva de la Unidad de Abastecimiento de la Oficina de Administración con Código AIRHSP N° 003934 de la Autoridad de Transporte Urbano para Lima y Callao - ATU. Artículo 2 .- Notificar la presente resolución a la señora TALIA LISSETH RODRÍGUEZ PEÑA y a la Oficina de Gestión de Recursos Humanos, para los fines pertinentes. Artículo 3 .- Disponer la publicación de la presente resolución en el Diario Oficial “El Peruano” y en la sede digital de la Autoridad de Transporte Urbano para Lima y Callao - ATU ( https://www.gob.pe/atu ). Regístrese, comuníquese y publíquese.…</w:t>
      </w:r>
    </w:p>
    <w:p>
      <w:hyperlink r:id="rId10">
        <w:r>
          <w:rPr>
            <w:color w:val="0563C1"/>
            <w:u w:val="single"/>
          </w:rPr>
          <w:t>Ver texto completo</w:t>
        </w:r>
      </w:hyperlink>
      <w:r>
        <w:t xml:space="preserve">   </w:t>
      </w:r>
      <w:hyperlink r:id="rId13">
        <w:r>
          <w:rPr>
            <w:color w:val="0563C1"/>
            <w:u w:val="single"/>
          </w:rPr>
          <w:t>Ver en El Peruano</w:t>
        </w:r>
      </w:hyperlink>
      <w:r>
        <w:t xml:space="preserve">   </w:t>
      </w:r>
      <w:hyperlink r:id="rId14">
        <w:r>
          <w:rPr>
            <w:color w:val="0563C1"/>
            <w:u w:val="single"/>
          </w:rPr>
          <w:t>PDF</w:t>
        </w:r>
      </w:hyperlink>
    </w:p>
    <w:p>
      <w:pPr>
        <w:pStyle w:val="Heading1"/>
      </w:pPr>
      <w:r>
        <w:t>3. Inversiones (4)</w:t>
      </w:r>
    </w:p>
    <w:tbl>
      <w:tblPr>
        <w:tblStyle w:val="TableGrid"/>
        <w:tblW w:type="auto" w:w="0"/>
        <w:tblLook w:firstColumn="1" w:firstRow="1" w:lastColumn="0" w:lastRow="0" w:noHBand="0" w:noVBand="1" w:val="04A0"/>
      </w:tblPr>
      <w:tblGrid>
        <w:gridCol w:w="2493"/>
        <w:gridCol w:w="2493"/>
        <w:gridCol w:w="2493"/>
        <w:gridCol w:w="2493"/>
      </w:tblGrid>
      <w:tr>
        <w:tc>
          <w:tcPr>
            <w:tcW w:type="dxa" w:w="1247"/>
            <w:shd w:val="clear" w:color="auto" w:fill="1F4E79"/>
          </w:tcPr>
          <w:p>
            <w:r>
              <w:rPr>
                <w:b/>
                <w:color w:val="FFFFFF"/>
                <w:sz w:val="18"/>
              </w:rPr>
              <w:t>Fecha</w:t>
            </w:r>
          </w:p>
        </w:tc>
        <w:tc>
          <w:tcPr>
            <w:tcW w:type="dxa" w:w="1984"/>
            <w:shd w:val="clear" w:color="auto" w:fill="1F4E79"/>
          </w:tcPr>
          <w:p>
            <w:r>
              <w:rPr>
                <w:b/>
                <w:color w:val="FFFFFF"/>
                <w:sz w:val="18"/>
              </w:rPr>
              <w:t>Entidad</w:t>
            </w:r>
          </w:p>
        </w:tc>
        <w:tc>
          <w:tcPr>
            <w:tcW w:type="dxa" w:w="2268"/>
            <w:shd w:val="clear" w:color="auto" w:fill="1F4E79"/>
          </w:tcPr>
          <w:p>
            <w:r>
              <w:rPr>
                <w:b/>
                <w:color w:val="FFFFFF"/>
                <w:sz w:val="18"/>
              </w:rPr>
              <w:t>Norma</w:t>
            </w:r>
          </w:p>
        </w:tc>
        <w:tc>
          <w:tcPr>
            <w:tcW w:type="dxa" w:w="4139"/>
            <w:shd w:val="clear" w:color="auto" w:fill="1F4E79"/>
          </w:tcPr>
          <w:p>
            <w:r>
              <w:rPr>
                <w:b/>
                <w:color w:val="FFFFFF"/>
                <w:sz w:val="18"/>
              </w:rPr>
              <w:t>Sumilla</w:t>
            </w:r>
          </w:p>
        </w:tc>
      </w:tr>
      <w:tr>
        <w:tc>
          <w:tcPr>
            <w:tcW w:type="dxa" w:w="1247"/>
          </w:tcPr>
          <w:p>
            <w:r>
              <w:rPr>
                <w:sz w:val="18"/>
              </w:rPr>
              <w:t>19/10/2026</w:t>
            </w:r>
          </w:p>
        </w:tc>
        <w:tc>
          <w:tcPr>
            <w:tcW w:type="dxa" w:w="1984"/>
          </w:tcPr>
          <w:p>
            <w:r>
              <w:rPr>
                <w:sz w:val="18"/>
              </w:rPr>
              <w:t>ORGANISMO SUPERVISOR DE LA INVERSIÓN EN ENERGÍA Y MINERÍA</w:t>
            </w:r>
          </w:p>
        </w:tc>
        <w:tc>
          <w:tcPr>
            <w:tcW w:type="dxa" w:w="2268"/>
          </w:tcPr>
          <w:p>
            <w:r>
              <w:rPr>
                <w:sz w:val="18"/>
              </w:rPr>
            </w:r>
            <w:hyperlink r:id="rId15">
              <w:r>
                <w:rPr>
                  <w:color w:val="0563C1"/>
                  <w:u w:val="single"/>
                </w:rPr>
                <w:t>RESOLUCIÓN  N° 186-2026-OS/CD</w:t>
              </w:r>
            </w:hyperlink>
          </w:p>
        </w:tc>
        <w:tc>
          <w:tcPr>
            <w:tcW w:type="dxa" w:w="4139"/>
          </w:tcPr>
          <w:p>
            <w:r>
              <w:rPr>
                <w:sz w:val="18"/>
              </w:rPr>
              <w:t>Resolución de Consejo Directivo que modifica el Plan de Inversiones en Transmisión 2025 - 2029 aprobado mediante Resolución N° 112-2024-OS/CD en lo correspondiente al Área de Demanda 1 a partir de las solicitudes de Electronoroeste S.A. y Consorcio Eléctrico de Villacurí S.A.C.</w:t>
            </w:r>
          </w:p>
        </w:tc>
      </w:tr>
      <w:tr>
        <w:tc>
          <w:tcPr>
            <w:tcW w:type="dxa" w:w="1247"/>
          </w:tcPr>
          <w:p>
            <w:r>
              <w:rPr>
                <w:sz w:val="18"/>
              </w:rPr>
              <w:t>19/10/2026</w:t>
            </w:r>
          </w:p>
        </w:tc>
        <w:tc>
          <w:tcPr>
            <w:tcW w:type="dxa" w:w="1984"/>
          </w:tcPr>
          <w:p>
            <w:r>
              <w:rPr>
                <w:sz w:val="18"/>
              </w:rPr>
              <w:t>ORGANISMO SUPERVISOR DE LA INVERSIÓN EN ENERGÍA Y MINERÍA</w:t>
            </w:r>
          </w:p>
        </w:tc>
        <w:tc>
          <w:tcPr>
            <w:tcW w:type="dxa" w:w="2268"/>
          </w:tcPr>
          <w:p>
            <w:r>
              <w:rPr>
                <w:sz w:val="18"/>
              </w:rPr>
            </w:r>
            <w:hyperlink r:id="rId16">
              <w:r>
                <w:rPr>
                  <w:color w:val="0563C1"/>
                  <w:u w:val="single"/>
                </w:rPr>
                <w:t>RESOLUCIÓN  N° 187-2026-OS/CD</w:t>
              </w:r>
            </w:hyperlink>
          </w:p>
        </w:tc>
        <w:tc>
          <w:tcPr>
            <w:tcW w:type="dxa" w:w="4139"/>
          </w:tcPr>
          <w:p>
            <w:r>
              <w:rPr>
                <w:sz w:val="18"/>
              </w:rPr>
              <w:t>Resolución de Consejo Directivo que modifica el Plan de Inversiones en Transmisión 2025 - 2029 aprobado mediante Resolución N° 112-2024-OS/CD en lo correspondiente al Área de Demanda 3 a partir de las solicitudes de Hidrandina S.A. y Consorcio Eléctrico de Villacurí S.A.C.</w:t>
            </w:r>
          </w:p>
        </w:tc>
      </w:tr>
      <w:tr>
        <w:tc>
          <w:tcPr>
            <w:tcW w:type="dxa" w:w="1247"/>
          </w:tcPr>
          <w:p>
            <w:r>
              <w:rPr>
                <w:sz w:val="18"/>
              </w:rPr>
              <w:t>19/10/2026</w:t>
            </w:r>
          </w:p>
        </w:tc>
        <w:tc>
          <w:tcPr>
            <w:tcW w:type="dxa" w:w="1984"/>
          </w:tcPr>
          <w:p>
            <w:r>
              <w:rPr>
                <w:sz w:val="18"/>
              </w:rPr>
              <w:t>ORGANISMO SUPERVISOR DE LA INVERSIÓN EN ENERGÍA Y MINERÍA</w:t>
            </w:r>
          </w:p>
        </w:tc>
        <w:tc>
          <w:tcPr>
            <w:tcW w:type="dxa" w:w="2268"/>
          </w:tcPr>
          <w:p>
            <w:r>
              <w:rPr>
                <w:sz w:val="18"/>
              </w:rPr>
            </w:r>
            <w:hyperlink r:id="rId17">
              <w:r>
                <w:rPr>
                  <w:color w:val="0563C1"/>
                  <w:u w:val="single"/>
                </w:rPr>
                <w:t>RESOLUCIÓN  N° 188-2026-OS/CD</w:t>
              </w:r>
            </w:hyperlink>
          </w:p>
        </w:tc>
        <w:tc>
          <w:tcPr>
            <w:tcW w:type="dxa" w:w="4139"/>
          </w:tcPr>
          <w:p>
            <w:r>
              <w:rPr>
                <w:sz w:val="18"/>
              </w:rPr>
              <w:t>Resolución de Consejo Directivo que se pronuncia sobre la solicitud de Consorcio Eléctrico de Villacurí S.A.C. de modificación del Plan de Inversiones en Transmisión 2025 - 2029 aprobado mediante Resolución N° 112-2024-OS/CD en lo correspondiente al Área de Demanda 12</w:t>
            </w:r>
          </w:p>
        </w:tc>
      </w:tr>
      <w:tr>
        <w:tc>
          <w:tcPr>
            <w:tcW w:type="dxa" w:w="1247"/>
          </w:tcPr>
          <w:p>
            <w:r>
              <w:rPr>
                <w:sz w:val="18"/>
              </w:rPr>
              <w:t>19/10/2026</w:t>
            </w:r>
          </w:p>
        </w:tc>
        <w:tc>
          <w:tcPr>
            <w:tcW w:type="dxa" w:w="1984"/>
          </w:tcPr>
          <w:p>
            <w:r>
              <w:rPr>
                <w:sz w:val="18"/>
              </w:rPr>
              <w:t>ORGANISMO SUPERVISOR DE LA INVERSIÓN EN ENERGÍA Y MINERÍA</w:t>
            </w:r>
          </w:p>
        </w:tc>
        <w:tc>
          <w:tcPr>
            <w:tcW w:type="dxa" w:w="2268"/>
          </w:tcPr>
          <w:p>
            <w:r>
              <w:rPr>
                <w:sz w:val="18"/>
              </w:rPr>
            </w:r>
            <w:hyperlink r:id="rId18">
              <w:r>
                <w:rPr>
                  <w:color w:val="0563C1"/>
                  <w:u w:val="single"/>
                </w:rPr>
                <w:t>RESOLUCIÓN  N° 189-2026-OS/CD</w:t>
              </w:r>
            </w:hyperlink>
          </w:p>
        </w:tc>
        <w:tc>
          <w:tcPr>
            <w:tcW w:type="dxa" w:w="4139"/>
          </w:tcPr>
          <w:p>
            <w:r>
              <w:rPr>
                <w:sz w:val="18"/>
              </w:rPr>
              <w:t>Resolución de Consejo Directivo que modifica el Plan de Inversiones en Transmisión 2025 - 2029 aprobado mediante Resolución N° 112-2024-OS/CD en lo correspondiente al Área de Demanda 13 a partir de las solicitudes de Electrosur S.A. y Consorcio Eléctrico de Villacurí S.A.C.</w:t>
            </w:r>
          </w:p>
        </w:tc>
      </w:tr>
    </w:tbl>
    <w:p/>
    <w:p>
      <w:pPr>
        <w:pStyle w:val="Heading3"/>
      </w:pPr>
      <w:r>
        <w:t>RESOLUCIÓN  N° 186-2026-OS/CD</w:t>
      </w:r>
    </w:p>
    <w:p>
      <w:r>
        <w:rPr>
          <w:b/>
        </w:rPr>
        <w:t xml:space="preserve">Entidad: </w:t>
      </w:r>
      <w:r>
        <w:t xml:space="preserve">ORGANISMO SUPERVISOR DE LA INVERSIÓN EN ENERGÍA Y MINERÍA   </w:t>
      </w:r>
      <w:r>
        <w:rPr>
          <w:b/>
        </w:rPr>
        <w:t xml:space="preserve">Fecha: </w:t>
      </w:r>
      <w:r>
        <w:t>19/10/2026</w:t>
      </w:r>
    </w:p>
    <w:p>
      <w:r>
        <w:rPr>
          <w:b/>
        </w:rPr>
        <w:t xml:space="preserve">Temas: </w:t>
      </w:r>
      <w:r>
        <w:t>Inversiones</w:t>
      </w:r>
    </w:p>
    <w:p>
      <w:r>
        <w:rPr>
          <w:b/>
        </w:rPr>
        <w:t xml:space="preserve">Sumilla: </w:t>
      </w:r>
      <w:r>
        <w:t>Resolución de Consejo Directivo que modifica el Plan de Inversiones en Transmisión 2025 - 2029 aprobado mediante Resolución N° 112-2024-OS/CD en lo correspondiente al Área de Demanda 1 a partir de las solicitudes de Electronoroeste S.A. y Consorcio Eléctrico de Villacurí S.A.C.</w:t>
      </w:r>
    </w:p>
    <w:p>
      <w:r>
        <w:rPr>
          <w:b/>
        </w:rPr>
        <w:t xml:space="preserve">Dispone: </w:t>
      </w:r>
      <w:r>
        <w:t>Artículo 1.- Disponer la acumulación de los procedimientos administrativos iniciados, como consecuencia de las solicitudes de modificación del Plan de Inversiones en Transmisión del periodo comprendido entre el 01 de mayo de 2025 al 30 de abril de 2029, presentados por las empresas: Electronoroeste S.A. y Consorcio Eléctrico de Villacurí S.A.C. Artículo 2.- Modificar el Plan de Inversiones en Transmisión del periodo comprendido entre el 01 de mayo de 2025 al 30 de abril de 2029, aprobado mediante Resolución N° 112-2024-OS/CD y reemplazado con Resolución N° 149-2024-OS/CD, en lo correspondiente al Área de Demanda 1, según se detalla en la sección 6.4 (Modificación del Plan de Inversiones…</w:t>
      </w:r>
    </w:p>
    <w:p>
      <w:hyperlink r:id="rId15">
        <w:r>
          <w:rPr>
            <w:color w:val="0563C1"/>
            <w:u w:val="single"/>
          </w:rPr>
          <w:t>Ver texto completo</w:t>
        </w:r>
      </w:hyperlink>
      <w:r>
        <w:t xml:space="preserve">   </w:t>
      </w:r>
      <w:hyperlink r:id="rId19">
        <w:r>
          <w:rPr>
            <w:color w:val="0563C1"/>
            <w:u w:val="single"/>
          </w:rPr>
          <w:t>Ver en El Peruano</w:t>
        </w:r>
      </w:hyperlink>
      <w:r>
        <w:t xml:space="preserve">   </w:t>
      </w:r>
      <w:hyperlink r:id="rId20">
        <w:r>
          <w:rPr>
            <w:color w:val="0563C1"/>
            <w:u w:val="single"/>
          </w:rPr>
          <w:t>PDF</w:t>
        </w:r>
      </w:hyperlink>
    </w:p>
    <w:p>
      <w:pPr>
        <w:pStyle w:val="Heading3"/>
      </w:pPr>
      <w:r>
        <w:t>RESOLUCIÓN  N° 187-2026-OS/CD</w:t>
      </w:r>
    </w:p>
    <w:p>
      <w:r>
        <w:rPr>
          <w:b/>
        </w:rPr>
        <w:t xml:space="preserve">Entidad: </w:t>
      </w:r>
      <w:r>
        <w:t xml:space="preserve">ORGANISMO SUPERVISOR DE LA INVERSIÓN EN ENERGÍA Y MINERÍA   </w:t>
      </w:r>
      <w:r>
        <w:rPr>
          <w:b/>
        </w:rPr>
        <w:t xml:space="preserve">Fecha: </w:t>
      </w:r>
      <w:r>
        <w:t>19/10/2026</w:t>
      </w:r>
    </w:p>
    <w:p>
      <w:r>
        <w:rPr>
          <w:b/>
        </w:rPr>
        <w:t xml:space="preserve">Temas: </w:t>
      </w:r>
      <w:r>
        <w:t>Inversiones</w:t>
      </w:r>
    </w:p>
    <w:p>
      <w:r>
        <w:rPr>
          <w:b/>
        </w:rPr>
        <w:t xml:space="preserve">Sumilla: </w:t>
      </w:r>
      <w:r>
        <w:t>Resolución de Consejo Directivo que modifica el Plan de Inversiones en Transmisión 2025 - 2029 aprobado mediante Resolución N° 112-2024-OS/CD en lo correspondiente al Área de Demanda 3 a partir de las solicitudes de Hidrandina S.A. y Consorcio Eléctrico de Villacurí S.A.C.</w:t>
      </w:r>
    </w:p>
    <w:p>
      <w:r>
        <w:rPr>
          <w:b/>
        </w:rPr>
        <w:t xml:space="preserve">Dispone: </w:t>
      </w:r>
      <w:r>
        <w:t>Artículo 1.- Disponer la acumulación de los procedimientos administrativos iniciados, como consecuencia de las solicitudes de modificación del Plan de Inversiones en Transmisión del periodo comprendido entre el 01 de mayo de 2025 al 30 de abril de 2029, presentados por las empresas: Hidrandina S.A. y Consorcio Eléctrico de Villacurí S.A.C. Artículo 2.- Modificar el Plan de Inversiones en Transmisión del periodo comprendido entre el 01 de mayo de 2025 al 30 de abril de 2029, aprobado mediante Resolución N° 112-2024-OS/CD y reemplazado con Resolución N° 149-2024-OS/CD, en lo correspondiente al Área de Demanda 3, según se detalla en la sección 6.4 (Modificación del Plan de Inversiones…</w:t>
      </w:r>
    </w:p>
    <w:p>
      <w:hyperlink r:id="rId16">
        <w:r>
          <w:rPr>
            <w:color w:val="0563C1"/>
            <w:u w:val="single"/>
          </w:rPr>
          <w:t>Ver texto completo</w:t>
        </w:r>
      </w:hyperlink>
      <w:r>
        <w:t xml:space="preserve">   </w:t>
      </w:r>
      <w:hyperlink r:id="rId21">
        <w:r>
          <w:rPr>
            <w:color w:val="0563C1"/>
            <w:u w:val="single"/>
          </w:rPr>
          <w:t>Ver en El Peruano</w:t>
        </w:r>
      </w:hyperlink>
      <w:r>
        <w:t xml:space="preserve">   </w:t>
      </w:r>
      <w:hyperlink r:id="rId22">
        <w:r>
          <w:rPr>
            <w:color w:val="0563C1"/>
            <w:u w:val="single"/>
          </w:rPr>
          <w:t>PDF</w:t>
        </w:r>
      </w:hyperlink>
    </w:p>
    <w:p>
      <w:pPr>
        <w:pStyle w:val="Heading3"/>
      </w:pPr>
      <w:r>
        <w:t>RESOLUCIÓN  N° 188-2026-OS/CD</w:t>
      </w:r>
    </w:p>
    <w:p>
      <w:r>
        <w:rPr>
          <w:b/>
        </w:rPr>
        <w:t xml:space="preserve">Entidad: </w:t>
      </w:r>
      <w:r>
        <w:t xml:space="preserve">ORGANISMO SUPERVISOR DE LA INVERSIÓN EN ENERGÍA Y MINERÍA   </w:t>
      </w:r>
      <w:r>
        <w:rPr>
          <w:b/>
        </w:rPr>
        <w:t xml:space="preserve">Fecha: </w:t>
      </w:r>
      <w:r>
        <w:t>19/10/2026</w:t>
      </w:r>
    </w:p>
    <w:p>
      <w:r>
        <w:rPr>
          <w:b/>
        </w:rPr>
        <w:t xml:space="preserve">Temas: </w:t>
      </w:r>
      <w:r>
        <w:t>Inversiones</w:t>
      </w:r>
    </w:p>
    <w:p>
      <w:r>
        <w:rPr>
          <w:b/>
        </w:rPr>
        <w:t xml:space="preserve">Sumilla: </w:t>
      </w:r>
      <w:r>
        <w:t>Resolución de Consejo Directivo que se pronuncia sobre la solicitud de Consorcio Eléctrico de Villacurí S.A.C. de modificación del Plan de Inversiones en Transmisión 2025 - 2029 aprobado mediante Resolución N° 112-2024-OS/CD en lo correspondiente al Área de Demanda 12</w:t>
      </w:r>
    </w:p>
    <w:p>
      <w:r>
        <w:rPr>
          <w:b/>
        </w:rPr>
        <w:t xml:space="preserve">Dispone: </w:t>
      </w:r>
      <w:r>
        <w:t>Artículo 1.- Desestimar la solicitud de la empresa Consorcio Eléctrico de Villacurí S.A.C. y, en consecuencia, no modificar el Plan de Inversiones en Transmisión del periodo comprendido entre el 01 de mayo de 2025 al 30 de abril de 2029, aprobado mediante Resolución N° 112-2024-OS/CD y reemplazado con Resolución N° 149-2024-OS/CD, en lo correspondiente al área de demanda 12. Artículo 2.- Disponer la publicación de la presente resolución en el diario oficial El Peruano y en el portal institucional: https://www.gob.pe/osinergmin y consignarla con el Informe Técnico N° 595-2026-GRT y el Informe Legal N° 596-2026-GRT, que forman parte integrante, en la web de Osinergmin:…</w:t>
      </w:r>
    </w:p>
    <w:p>
      <w:hyperlink r:id="rId17">
        <w:r>
          <w:rPr>
            <w:color w:val="0563C1"/>
            <w:u w:val="single"/>
          </w:rPr>
          <w:t>Ver texto completo</w:t>
        </w:r>
      </w:hyperlink>
      <w:r>
        <w:t xml:space="preserve">   </w:t>
      </w:r>
      <w:hyperlink r:id="rId23">
        <w:r>
          <w:rPr>
            <w:color w:val="0563C1"/>
            <w:u w:val="single"/>
          </w:rPr>
          <w:t>Ver en El Peruano</w:t>
        </w:r>
      </w:hyperlink>
      <w:r>
        <w:t xml:space="preserve">   </w:t>
      </w:r>
      <w:hyperlink r:id="rId24">
        <w:r>
          <w:rPr>
            <w:color w:val="0563C1"/>
            <w:u w:val="single"/>
          </w:rPr>
          <w:t>PDF</w:t>
        </w:r>
      </w:hyperlink>
    </w:p>
    <w:p>
      <w:pPr>
        <w:pStyle w:val="Heading3"/>
      </w:pPr>
      <w:r>
        <w:t>RESOLUCIÓN  N° 189-2026-OS/CD</w:t>
      </w:r>
    </w:p>
    <w:p>
      <w:r>
        <w:rPr>
          <w:b/>
        </w:rPr>
        <w:t xml:space="preserve">Entidad: </w:t>
      </w:r>
      <w:r>
        <w:t xml:space="preserve">ORGANISMO SUPERVISOR DE LA INVERSIÓN EN ENERGÍA Y MINERÍA   </w:t>
      </w:r>
      <w:r>
        <w:rPr>
          <w:b/>
        </w:rPr>
        <w:t xml:space="preserve">Fecha: </w:t>
      </w:r>
      <w:r>
        <w:t>19/10/2026</w:t>
      </w:r>
    </w:p>
    <w:p>
      <w:r>
        <w:rPr>
          <w:b/>
        </w:rPr>
        <w:t xml:space="preserve">Temas: </w:t>
      </w:r>
      <w:r>
        <w:t>Inversiones</w:t>
      </w:r>
    </w:p>
    <w:p>
      <w:r>
        <w:rPr>
          <w:b/>
        </w:rPr>
        <w:t xml:space="preserve">Sumilla: </w:t>
      </w:r>
      <w:r>
        <w:t>Resolución de Consejo Directivo que modifica el Plan de Inversiones en Transmisión 2025 - 2029 aprobado mediante Resolución N° 112-2024-OS/CD en lo correspondiente al Área de Demanda 13 a partir de las solicitudes de Electrosur S.A. y Consorcio Eléctrico de Villacurí S.A.C.</w:t>
      </w:r>
    </w:p>
    <w:p>
      <w:r>
        <w:rPr>
          <w:b/>
        </w:rPr>
        <w:t xml:space="preserve">Dispone: </w:t>
      </w:r>
      <w:r>
        <w:t>Artículo 1.- Disponer la acumulación de los procedimientos administrativos iniciados, como consecuencia de las solicitudes de modificación del Plan de Inversiones en Transmisión del periodo comprendido entre el 01 de mayo de 2025 al 30 de abril de 2029, presentadas por Empresa Regional de Servicio Público de Electricidad - Electrosur S.A. y Consorcio Eléctrico de Villacurí S.A.C. Artículo 2.- Modificar el Plan de Inversiones en Transmisión del periodo comprendido entre el 01 de mayo de 2025 al 30 de abril de 2029, aprobado mediante Resolución N° 112-2024-OS/CD y reemplazado con Resolución N° 149-2024-OS/CD, en lo correspondiente al área de demanda 13, según se detalla en la sección 6.4…</w:t>
      </w:r>
    </w:p>
    <w:p>
      <w:hyperlink r:id="rId18">
        <w:r>
          <w:rPr>
            <w:color w:val="0563C1"/>
            <w:u w:val="single"/>
          </w:rPr>
          <w:t>Ver texto completo</w:t>
        </w:r>
      </w:hyperlink>
      <w:r>
        <w:t xml:space="preserve">   </w:t>
      </w:r>
      <w:hyperlink r:id="rId25">
        <w:r>
          <w:rPr>
            <w:color w:val="0563C1"/>
            <w:u w:val="single"/>
          </w:rPr>
          <w:t>Ver en El Peruano</w:t>
        </w:r>
      </w:hyperlink>
      <w:r>
        <w:t xml:space="preserve">   </w:t>
      </w:r>
      <w:hyperlink r:id="rId26">
        <w:r>
          <w:rPr>
            <w:color w:val="0563C1"/>
            <w:u w:val="single"/>
          </w:rPr>
          <w:t>PDF</w:t>
        </w:r>
      </w:hyperlink>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usquedas.elperuano.pe/api/visor_html/2565769-1" TargetMode="External"/><Relationship Id="rId10" Type="http://schemas.openxmlformats.org/officeDocument/2006/relationships/hyperlink" Target="https://busquedas.elperuano.pe/api/visor_html/2565771-1" TargetMode="External"/><Relationship Id="rId11" Type="http://schemas.openxmlformats.org/officeDocument/2006/relationships/hyperlink" Target="https://busquedas.elperuano.pe/dispositivo/NL/2565769-1" TargetMode="External"/><Relationship Id="rId12" Type="http://schemas.openxmlformats.org/officeDocument/2006/relationships/hyperlink" Target="https://busquedas.elperuano.pe/dispositivo/NL/2565769-1/pdf" TargetMode="External"/><Relationship Id="rId13" Type="http://schemas.openxmlformats.org/officeDocument/2006/relationships/hyperlink" Target="https://busquedas.elperuano.pe/dispositivo/NL/2565771-1" TargetMode="External"/><Relationship Id="rId14" Type="http://schemas.openxmlformats.org/officeDocument/2006/relationships/hyperlink" Target="https://busquedas.elperuano.pe/dispositivo/NL/2565771-1/pdf" TargetMode="External"/><Relationship Id="rId15" Type="http://schemas.openxmlformats.org/officeDocument/2006/relationships/hyperlink" Target="https://busquedas.elperuano.pe/api/visor_html/2565621-1" TargetMode="External"/><Relationship Id="rId16" Type="http://schemas.openxmlformats.org/officeDocument/2006/relationships/hyperlink" Target="https://busquedas.elperuano.pe/api/visor_html/2565624-1" TargetMode="External"/><Relationship Id="rId17" Type="http://schemas.openxmlformats.org/officeDocument/2006/relationships/hyperlink" Target="https://busquedas.elperuano.pe/api/visor_html/2565631-1" TargetMode="External"/><Relationship Id="rId18" Type="http://schemas.openxmlformats.org/officeDocument/2006/relationships/hyperlink" Target="https://busquedas.elperuano.pe/api/visor_html/2565640-1" TargetMode="External"/><Relationship Id="rId19" Type="http://schemas.openxmlformats.org/officeDocument/2006/relationships/hyperlink" Target="https://busquedas.elperuano.pe/dispositivo/NL/2565621-1" TargetMode="External"/><Relationship Id="rId20" Type="http://schemas.openxmlformats.org/officeDocument/2006/relationships/hyperlink" Target="https://busquedas.elperuano.pe/dispositivo/NL/2565621-1/pdf" TargetMode="External"/><Relationship Id="rId21" Type="http://schemas.openxmlformats.org/officeDocument/2006/relationships/hyperlink" Target="https://busquedas.elperuano.pe/dispositivo/NL/2565624-1" TargetMode="External"/><Relationship Id="rId22" Type="http://schemas.openxmlformats.org/officeDocument/2006/relationships/hyperlink" Target="https://busquedas.elperuano.pe/dispositivo/NL/2565624-1/pdf" TargetMode="External"/><Relationship Id="rId23" Type="http://schemas.openxmlformats.org/officeDocument/2006/relationships/hyperlink" Target="https://busquedas.elperuano.pe/dispositivo/NL/2565631-1" TargetMode="External"/><Relationship Id="rId24" Type="http://schemas.openxmlformats.org/officeDocument/2006/relationships/hyperlink" Target="https://busquedas.elperuano.pe/dispositivo/NL/2565631-1/pdf" TargetMode="External"/><Relationship Id="rId25" Type="http://schemas.openxmlformats.org/officeDocument/2006/relationships/hyperlink" Target="https://busquedas.elperuano.pe/dispositivo/NL/2565640-1" TargetMode="External"/><Relationship Id="rId26" Type="http://schemas.openxmlformats.org/officeDocument/2006/relationships/hyperlink" Target="https://busquedas.elperuano.pe/dispositivo/NL/2565640-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