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Resumen de Normas Legales – Diario Oficial El Peruano</w:t>
      </w:r>
    </w:p>
    <w:p>
      <w:pPr>
        <w:jc w:val="center"/>
      </w:pPr>
      <w:r>
        <w:rPr>
          <w:b/>
        </w:rPr>
        <w:t>Periodo revisado: 21/10/2026</w:t>
        <w:br/>
      </w:r>
      <w:r>
        <w:t>Generado: 26/10/2026 10:13  ·  Fuente: diariooficial.elperuano.pe</w:t>
      </w:r>
    </w:p>
    <w:p>
      <w:pPr>
        <w:pStyle w:val="Heading1"/>
      </w:pPr>
      <w:r>
        <w:t>1. Resumen ejecutivo</w:t>
      </w:r>
    </w:p>
    <w:p>
      <w:r>
        <w:t>Se revisaron 83 normas publicadas en el periodo. 1 resultan de interés para la ATU por tratar sobre la entidad, la normatividad presupuestal o las inversiones.</w:t>
      </w:r>
    </w:p>
    <w:tbl>
      <w:tblPr>
        <w:tblStyle w:val="LightGrid-Accent1"/>
        <w:tblW w:type="auto" w:w="0"/>
        <w:tblLook w:firstColumn="1" w:firstRow="1" w:lastColumn="0" w:lastRow="0" w:noHBand="0" w:noVBand="1" w:val="04A0"/>
      </w:tblPr>
      <w:tblGrid>
        <w:gridCol w:w="4986"/>
        <w:gridCol w:w="4986"/>
      </w:tblGrid>
      <w:tr>
        <w:tc>
          <w:tcPr>
            <w:tcW w:type="dxa" w:w="4986"/>
          </w:tcPr>
          <w:p>
            <w:r>
              <w:t>Tema</w:t>
            </w:r>
          </w:p>
        </w:tc>
        <w:tc>
          <w:tcPr>
            <w:tcW w:type="dxa" w:w="4986"/>
          </w:tcPr>
          <w:p>
            <w:r>
              <w:t>N.° de normas</w:t>
            </w:r>
          </w:p>
        </w:tc>
      </w:tr>
      <w:tr>
        <w:tc>
          <w:tcPr>
            <w:tcW w:type="dxa" w:w="4986"/>
          </w:tcPr>
          <w:p>
            <w:r>
              <w:t>ATU y transporte urbano</w:t>
            </w:r>
          </w:p>
        </w:tc>
        <w:tc>
          <w:tcPr>
            <w:tcW w:type="dxa" w:w="4986"/>
          </w:tcPr>
          <w:p>
            <w:r>
              <w:t>0</w:t>
            </w:r>
          </w:p>
        </w:tc>
      </w:tr>
      <w:tr>
        <w:tc>
          <w:tcPr>
            <w:tcW w:type="dxa" w:w="4986"/>
          </w:tcPr>
          <w:p>
            <w:r>
              <w:t>Normatividad presupuestal</w:t>
            </w:r>
          </w:p>
        </w:tc>
        <w:tc>
          <w:tcPr>
            <w:tcW w:type="dxa" w:w="4986"/>
          </w:tcPr>
          <w:p>
            <w:r>
              <w:t>0</w:t>
            </w:r>
          </w:p>
        </w:tc>
      </w:tr>
      <w:tr>
        <w:tc>
          <w:tcPr>
            <w:tcW w:type="dxa" w:w="4986"/>
          </w:tcPr>
          <w:p>
            <w:r>
              <w:t>Inversiones</w:t>
            </w:r>
          </w:p>
        </w:tc>
        <w:tc>
          <w:tcPr>
            <w:tcW w:type="dxa" w:w="4986"/>
          </w:tcPr>
          <w:p>
            <w:r>
              <w:t>1</w:t>
            </w:r>
          </w:p>
        </w:tc>
      </w:tr>
    </w:tbl>
    <w:p>
      <w:pPr>
        <w:pStyle w:val="Heading1"/>
      </w:pPr>
      <w:r>
        <w:t>2. Inversiones (1)</w:t>
      </w:r>
    </w:p>
    <w:tbl>
      <w:tblPr>
        <w:tblStyle w:val="TableGrid"/>
        <w:tblW w:type="auto" w:w="0"/>
        <w:tblLook w:firstColumn="1" w:firstRow="1" w:lastColumn="0" w:lastRow="0" w:noHBand="0" w:noVBand="1" w:val="04A0"/>
      </w:tblPr>
      <w:tblGrid>
        <w:gridCol w:w="2493"/>
        <w:gridCol w:w="2493"/>
        <w:gridCol w:w="2493"/>
        <w:gridCol w:w="2493"/>
      </w:tblGrid>
      <w:tr>
        <w:tc>
          <w:tcPr>
            <w:tcW w:type="dxa" w:w="1247"/>
            <w:shd w:val="clear" w:color="auto" w:fill="1F4E79"/>
          </w:tcPr>
          <w:p>
            <w:r>
              <w:rPr>
                <w:b/>
                <w:color w:val="FFFFFF"/>
                <w:sz w:val="18"/>
              </w:rPr>
              <w:t>Fecha</w:t>
            </w:r>
          </w:p>
        </w:tc>
        <w:tc>
          <w:tcPr>
            <w:tcW w:type="dxa" w:w="1984"/>
            <w:shd w:val="clear" w:color="auto" w:fill="1F4E79"/>
          </w:tcPr>
          <w:p>
            <w:r>
              <w:rPr>
                <w:b/>
                <w:color w:val="FFFFFF"/>
                <w:sz w:val="18"/>
              </w:rPr>
              <w:t>Entidad</w:t>
            </w:r>
          </w:p>
        </w:tc>
        <w:tc>
          <w:tcPr>
            <w:tcW w:type="dxa" w:w="2268"/>
            <w:shd w:val="clear" w:color="auto" w:fill="1F4E79"/>
          </w:tcPr>
          <w:p>
            <w:r>
              <w:rPr>
                <w:b/>
                <w:color w:val="FFFFFF"/>
                <w:sz w:val="18"/>
              </w:rPr>
              <w:t>Norma</w:t>
            </w:r>
          </w:p>
        </w:tc>
        <w:tc>
          <w:tcPr>
            <w:tcW w:type="dxa" w:w="4139"/>
            <w:shd w:val="clear" w:color="auto" w:fill="1F4E79"/>
          </w:tcPr>
          <w:p>
            <w:r>
              <w:rPr>
                <w:b/>
                <w:color w:val="FFFFFF"/>
                <w:sz w:val="18"/>
              </w:rPr>
              <w:t>Sumilla</w:t>
            </w:r>
          </w:p>
        </w:tc>
      </w:tr>
      <w:tr>
        <w:tc>
          <w:tcPr>
            <w:tcW w:type="dxa" w:w="1247"/>
          </w:tcPr>
          <w:p>
            <w:r>
              <w:rPr>
                <w:sz w:val="18"/>
              </w:rPr>
              <w:t>21/10/2026 (Ext.)</w:t>
            </w:r>
          </w:p>
        </w:tc>
        <w:tc>
          <w:tcPr>
            <w:tcW w:type="dxa" w:w="1984"/>
          </w:tcPr>
          <w:p>
            <w:r>
              <w:rPr>
                <w:sz w:val="18"/>
              </w:rPr>
              <w:t>ECONOMÍA Y FINANZAS</w:t>
            </w:r>
          </w:p>
        </w:tc>
        <w:tc>
          <w:tcPr>
            <w:tcW w:type="dxa" w:w="2268"/>
          </w:tcPr>
          <w:p>
            <w:r>
              <w:rPr>
                <w:sz w:val="18"/>
              </w:rPr>
            </w:r>
            <w:hyperlink r:id="rId9">
              <w:r>
                <w:rPr>
                  <w:color w:val="0563C1"/>
                  <w:u w:val="single"/>
                </w:rPr>
                <w:t>DECRETO SUPREMO N° 222-2026-EF</w:t>
              </w:r>
            </w:hyperlink>
          </w:p>
        </w:tc>
        <w:tc>
          <w:tcPr>
            <w:tcW w:type="dxa" w:w="4139"/>
          </w:tcPr>
          <w:p>
            <w:r>
              <w:rPr>
                <w:sz w:val="18"/>
              </w:rPr>
              <w:t>Decreto Supremo que modifica el Reglamento de la Ley N° 32069 Ley General de Contrataciones Públicas aprobado mediante el Decreto Supremo N° 009-2025-EF</w:t>
            </w:r>
          </w:p>
        </w:tc>
      </w:tr>
    </w:tbl>
    <w:p/>
    <w:p>
      <w:pPr>
        <w:pStyle w:val="Heading3"/>
      </w:pPr>
      <w:r>
        <w:t>DECRETO SUPREMO N° 222-2026-EF</w:t>
      </w:r>
    </w:p>
    <w:p>
      <w:r>
        <w:rPr>
          <w:b/>
        </w:rPr>
        <w:t xml:space="preserve">Entidad: </w:t>
      </w:r>
      <w:r>
        <w:t xml:space="preserve">ECONOMÍA Y FINANZAS   </w:t>
      </w:r>
      <w:r>
        <w:rPr>
          <w:b/>
        </w:rPr>
        <w:t xml:space="preserve">Fecha: </w:t>
      </w:r>
      <w:r>
        <w:t>21/10/2026  (Edición Extraordinaria)</w:t>
      </w:r>
    </w:p>
    <w:p>
      <w:r>
        <w:rPr>
          <w:b/>
        </w:rPr>
        <w:t xml:space="preserve">Temas: </w:t>
      </w:r>
      <w:r>
        <w:t>Inversiones</w:t>
      </w:r>
    </w:p>
    <w:p>
      <w:r>
        <w:rPr>
          <w:b/>
        </w:rPr>
        <w:t xml:space="preserve">Sumilla: </w:t>
      </w:r>
      <w:r>
        <w:t>Decreto Supremo que modifica el Reglamento de la Ley N° 32069 Ley General de Contrataciones Públicas aprobado mediante el Decreto Supremo N° 009-2025-EF</w:t>
      </w:r>
    </w:p>
    <w:p>
      <w:r>
        <w:rPr>
          <w:b/>
        </w:rPr>
        <w:t xml:space="preserve">Dispone: </w:t>
      </w:r>
      <w:r>
        <w:t>Artículo 1.- Objeto Se modifica el Reglamento de la Ley Nº 32069, Ley General de Contrataciones Públicas, aprobado por el Decreto Supremo Nº 009-2025-EF, con el objeto de establecer la modalidad progresiva y un nuevo plazo para el inicio de la implementación del nuevo modelo de certificación a cargo del Organismo Especializado para las Contrataciones Públicas Eficientes (OECE). Artículo 2.- Finalidad La finalidad de la presente norma consiste en garantizar la continuidad del servicio de certificación de los compradores públicos hasta que el Organismo Especializado para las Contrataciones Públicas Eficientes (OECE) inicie la implementación progresiva del nuevo modelo de certificación.…</w:t>
      </w:r>
    </w:p>
    <w:p>
      <w:hyperlink r:id="rId9">
        <w:r>
          <w:rPr>
            <w:color w:val="0563C1"/>
            <w:u w:val="single"/>
          </w:rPr>
          <w:t>Ver texto completo</w:t>
        </w:r>
      </w:hyperlink>
      <w:r>
        <w:t xml:space="preserve">   </w:t>
      </w:r>
      <w:hyperlink r:id="rId10">
        <w:r>
          <w:rPr>
            <w:color w:val="0563C1"/>
            <w:u w:val="single"/>
          </w:rPr>
          <w:t>Ver en El Peruano</w:t>
        </w:r>
      </w:hyperlink>
      <w:r>
        <w:t xml:space="preserve">   </w:t>
      </w:r>
      <w:hyperlink r:id="rId11">
        <w:r>
          <w:rPr>
            <w:color w:val="0563C1"/>
            <w:u w:val="single"/>
          </w:rPr>
          <w:t>PDF</w:t>
        </w:r>
      </w:hyperlink>
    </w:p>
    <w:sectPr w:rsidR="00FC693F" w:rsidRPr="0006063C" w:rsidSect="00034616">
      <w:pgSz w:w="12240" w:h="15840"/>
      <w:pgMar w:top="1440" w:right="1134" w:bottom="144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busquedas.elperuano.pe/api/visor_html/2567159-1" TargetMode="External"/><Relationship Id="rId10" Type="http://schemas.openxmlformats.org/officeDocument/2006/relationships/hyperlink" Target="https://busquedas.elperuano.pe/dispositivo/EX/2567159-1" TargetMode="External"/><Relationship Id="rId11" Type="http://schemas.openxmlformats.org/officeDocument/2006/relationships/hyperlink" Target="https://busquedas.elperuano.pe/dispositivo/EX/2567159-1/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