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Resumen de Normas Legales – Diario Oficial El Peruano</w:t>
      </w:r>
    </w:p>
    <w:p>
      <w:pPr>
        <w:jc w:val="center"/>
      </w:pPr>
      <w:r>
        <w:rPr>
          <w:b/>
        </w:rPr>
        <w:t>Periodo revisado: 22/10/2026</w:t>
        <w:br/>
      </w:r>
      <w:r>
        <w:t>Generado: 26/10/2026 10:13  ·  Fuente: diariooficial.elperuano.pe</w:t>
      </w:r>
    </w:p>
    <w:p>
      <w:pPr>
        <w:pStyle w:val="Heading1"/>
      </w:pPr>
      <w:r>
        <w:t>1. Resumen ejecutivo</w:t>
      </w:r>
    </w:p>
    <w:p>
      <w:r>
        <w:t>Se revisaron 92 normas publicadas en el periodo. 6 resultan de interés para la ATU por tratar sobre la entidad, la normatividad presupuestal o las inversiones.</w:t>
      </w:r>
    </w:p>
    <w:tbl>
      <w:tblPr>
        <w:tblStyle w:val="LightGrid-Accent1"/>
        <w:tblW w:type="auto" w:w="0"/>
        <w:tblLook w:firstColumn="1" w:firstRow="1" w:lastColumn="0" w:lastRow="0" w:noHBand="0" w:noVBand="1" w:val="04A0"/>
      </w:tblPr>
      <w:tblGrid>
        <w:gridCol w:w="4986"/>
        <w:gridCol w:w="4986"/>
      </w:tblGrid>
      <w:tr>
        <w:tc>
          <w:tcPr>
            <w:tcW w:type="dxa" w:w="4986"/>
          </w:tcPr>
          <w:p>
            <w:r>
              <w:t>Tema</w:t>
            </w:r>
          </w:p>
        </w:tc>
        <w:tc>
          <w:tcPr>
            <w:tcW w:type="dxa" w:w="4986"/>
          </w:tcPr>
          <w:p>
            <w:r>
              <w:t>N.° de normas</w:t>
            </w:r>
          </w:p>
        </w:tc>
      </w:tr>
      <w:tr>
        <w:tc>
          <w:tcPr>
            <w:tcW w:type="dxa" w:w="4986"/>
          </w:tcPr>
          <w:p>
            <w:r>
              <w:t>ATU y transporte urbano</w:t>
            </w:r>
          </w:p>
        </w:tc>
        <w:tc>
          <w:tcPr>
            <w:tcW w:type="dxa" w:w="4986"/>
          </w:tcPr>
          <w:p>
            <w:r>
              <w:t>0</w:t>
            </w:r>
          </w:p>
        </w:tc>
      </w:tr>
      <w:tr>
        <w:tc>
          <w:tcPr>
            <w:tcW w:type="dxa" w:w="4986"/>
          </w:tcPr>
          <w:p>
            <w:r>
              <w:t>Normatividad presupuestal</w:t>
            </w:r>
          </w:p>
        </w:tc>
        <w:tc>
          <w:tcPr>
            <w:tcW w:type="dxa" w:w="4986"/>
          </w:tcPr>
          <w:p>
            <w:r>
              <w:t>5</w:t>
            </w:r>
          </w:p>
        </w:tc>
      </w:tr>
      <w:tr>
        <w:tc>
          <w:tcPr>
            <w:tcW w:type="dxa" w:w="4986"/>
          </w:tcPr>
          <w:p>
            <w:r>
              <w:t>Inversiones</w:t>
            </w:r>
          </w:p>
        </w:tc>
        <w:tc>
          <w:tcPr>
            <w:tcW w:type="dxa" w:w="4986"/>
          </w:tcPr>
          <w:p>
            <w:r>
              <w:t>2</w:t>
            </w:r>
          </w:p>
        </w:tc>
      </w:tr>
    </w:tbl>
    <w:p>
      <w:pPr>
        <w:pStyle w:val="Heading1"/>
      </w:pPr>
      <w:r>
        <w:t>2. Normatividad presupuestal (5)</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val="clear" w:color="auto" w:fill="1F4E79"/>
          </w:tcPr>
          <w:p>
            <w:r>
              <w:rPr>
                <w:b/>
                <w:color w:val="FFFFFF"/>
                <w:sz w:val="18"/>
              </w:rPr>
              <w:t>Fecha</w:t>
            </w:r>
          </w:p>
        </w:tc>
        <w:tc>
          <w:tcPr>
            <w:tcW w:type="dxa" w:w="1984"/>
            <w:shd w:val="clear" w:color="auto" w:fill="1F4E79"/>
          </w:tcPr>
          <w:p>
            <w:r>
              <w:rPr>
                <w:b/>
                <w:color w:val="FFFFFF"/>
                <w:sz w:val="18"/>
              </w:rPr>
              <w:t>Entidad</w:t>
            </w:r>
          </w:p>
        </w:tc>
        <w:tc>
          <w:tcPr>
            <w:tcW w:type="dxa" w:w="2268"/>
            <w:shd w:val="clear" w:color="auto" w:fill="1F4E79"/>
          </w:tcPr>
          <w:p>
            <w:r>
              <w:rPr>
                <w:b/>
                <w:color w:val="FFFFFF"/>
                <w:sz w:val="18"/>
              </w:rPr>
              <w:t>Norma</w:t>
            </w:r>
          </w:p>
        </w:tc>
        <w:tc>
          <w:tcPr>
            <w:tcW w:type="dxa" w:w="4139"/>
            <w:shd w:val="clear" w:color="auto" w:fill="1F4E79"/>
          </w:tcPr>
          <w:p>
            <w:r>
              <w:rPr>
                <w:b/>
                <w:color w:val="FFFFFF"/>
                <w:sz w:val="18"/>
              </w:rPr>
              <w:t>Sumilla</w:t>
            </w:r>
          </w:p>
        </w:tc>
      </w:tr>
      <w:tr>
        <w:tc>
          <w:tcPr>
            <w:tcW w:type="dxa" w:w="1247"/>
          </w:tcPr>
          <w:p>
            <w:r>
              <w:rPr>
                <w:sz w:val="18"/>
              </w:rPr>
              <w:t>22/10/2026</w:t>
            </w:r>
          </w:p>
        </w:tc>
        <w:tc>
          <w:tcPr>
            <w:tcW w:type="dxa" w:w="1984"/>
          </w:tcPr>
          <w:p>
            <w:r>
              <w:rPr>
                <w:sz w:val="18"/>
              </w:rPr>
              <w:t>GOBIERNO REGIONAL DE AMAZONAS</w:t>
            </w:r>
          </w:p>
        </w:tc>
        <w:tc>
          <w:tcPr>
            <w:tcW w:type="dxa" w:w="2268"/>
          </w:tcPr>
          <w:p>
            <w:r>
              <w:rPr>
                <w:sz w:val="18"/>
              </w:rPr>
            </w:r>
            <w:hyperlink r:id="rId9">
              <w:r>
                <w:rPr>
                  <w:color w:val="0563C1"/>
                  <w:u w:val="single"/>
                </w:rPr>
                <w:t>ACUERDO  N° 164-2026-GRA/CR-SO.</w:t>
              </w:r>
            </w:hyperlink>
          </w:p>
        </w:tc>
        <w:tc>
          <w:tcPr>
            <w:tcW w:type="dxa" w:w="4139"/>
          </w:tcPr>
          <w:p>
            <w:r>
              <w:rPr>
                <w:sz w:val="18"/>
              </w:rPr>
              <w:t>Aprueban reducción del Marco Presupuestal en la Fuente de Financiamiento Recursos Directamente Recaudados (RDR) para el Año Fiscal 2026</w:t>
            </w:r>
          </w:p>
        </w:tc>
      </w:tr>
      <w:tr>
        <w:tc>
          <w:tcPr>
            <w:tcW w:type="dxa" w:w="1247"/>
          </w:tcPr>
          <w:p>
            <w:r>
              <w:rPr>
                <w:sz w:val="18"/>
              </w:rPr>
              <w:t>22/10/2026</w:t>
            </w:r>
          </w:p>
        </w:tc>
        <w:tc>
          <w:tcPr>
            <w:tcW w:type="dxa" w:w="1984"/>
          </w:tcPr>
          <w:p>
            <w:r>
              <w:rPr>
                <w:sz w:val="18"/>
              </w:rPr>
              <w:t>GOBIERNO REGIONAL DE LA LIBERTAD</w:t>
            </w:r>
          </w:p>
        </w:tc>
        <w:tc>
          <w:tcPr>
            <w:tcW w:type="dxa" w:w="2268"/>
          </w:tcPr>
          <w:p>
            <w:r>
              <w:rPr>
                <w:sz w:val="18"/>
              </w:rPr>
            </w:r>
            <w:hyperlink r:id="rId10">
              <w:r>
                <w:rPr>
                  <w:color w:val="0563C1"/>
                  <w:u w:val="single"/>
                </w:rPr>
                <w:t>ACUERDO  N° 000184 -2026-GRLL-CR</w:t>
              </w:r>
            </w:hyperlink>
          </w:p>
        </w:tc>
        <w:tc>
          <w:tcPr>
            <w:tcW w:type="dxa" w:w="4139"/>
          </w:tcPr>
          <w:p>
            <w:r>
              <w:rPr>
                <w:sz w:val="18"/>
              </w:rPr>
              <w:t>Modifican y rectifican el Acuerdo Regional Nº 000287-2025-GRLL-CR que autorizó transferencia financiera a favor de la Contraloría General de la República</w:t>
            </w:r>
          </w:p>
        </w:tc>
      </w:tr>
      <w:tr>
        <w:tc>
          <w:tcPr>
            <w:tcW w:type="dxa" w:w="1247"/>
          </w:tcPr>
          <w:p>
            <w:r>
              <w:rPr>
                <w:sz w:val="18"/>
              </w:rPr>
              <w:t>22/10/2026</w:t>
            </w:r>
          </w:p>
        </w:tc>
        <w:tc>
          <w:tcPr>
            <w:tcW w:type="dxa" w:w="1984"/>
          </w:tcPr>
          <w:p>
            <w:r>
              <w:rPr>
                <w:sz w:val="18"/>
              </w:rPr>
              <w:t>GOBIERNO REGIONAL DE LA LIBERTAD</w:t>
            </w:r>
          </w:p>
        </w:tc>
        <w:tc>
          <w:tcPr>
            <w:tcW w:type="dxa" w:w="2268"/>
          </w:tcPr>
          <w:p>
            <w:r>
              <w:rPr>
                <w:sz w:val="18"/>
              </w:rPr>
            </w:r>
            <w:hyperlink r:id="rId11">
              <w:r>
                <w:rPr>
                  <w:color w:val="0563C1"/>
                  <w:u w:val="single"/>
                </w:rPr>
                <w:t>ACUERDO  N° 000187-2026-GRLL-CR</w:t>
              </w:r>
            </w:hyperlink>
          </w:p>
        </w:tc>
        <w:tc>
          <w:tcPr>
            <w:tcW w:type="dxa" w:w="4139"/>
          </w:tcPr>
          <w:p>
            <w:r>
              <w:rPr>
                <w:sz w:val="18"/>
              </w:rPr>
              <w:t>Autorizar transferencia financiera a favor de la Autoridad Nacional de Infraestructura (ANIN)</w:t>
            </w:r>
          </w:p>
        </w:tc>
      </w:tr>
      <w:tr>
        <w:tc>
          <w:tcPr>
            <w:tcW w:type="dxa" w:w="1247"/>
          </w:tcPr>
          <w:p>
            <w:r>
              <w:rPr>
                <w:sz w:val="18"/>
              </w:rPr>
              <w:t>22/10/2026</w:t>
            </w:r>
          </w:p>
        </w:tc>
        <w:tc>
          <w:tcPr>
            <w:tcW w:type="dxa" w:w="1984"/>
          </w:tcPr>
          <w:p>
            <w:r>
              <w:rPr>
                <w:sz w:val="18"/>
              </w:rPr>
              <w:t>GOBIERNO REGIONAL DE LA LIBERTAD</w:t>
            </w:r>
          </w:p>
        </w:tc>
        <w:tc>
          <w:tcPr>
            <w:tcW w:type="dxa" w:w="2268"/>
          </w:tcPr>
          <w:p>
            <w:r>
              <w:rPr>
                <w:sz w:val="18"/>
              </w:rPr>
            </w:r>
            <w:hyperlink r:id="rId12">
              <w:r>
                <w:rPr>
                  <w:color w:val="0563C1"/>
                  <w:u w:val="single"/>
                </w:rPr>
                <w:t>ACUERDO  N° 000193 -2026-GRLL-CR</w:t>
              </w:r>
            </w:hyperlink>
          </w:p>
        </w:tc>
        <w:tc>
          <w:tcPr>
            <w:tcW w:type="dxa" w:w="4139"/>
          </w:tcPr>
          <w:p>
            <w:r>
              <w:rPr>
                <w:sz w:val="18"/>
              </w:rPr>
              <w:t>Aprueban transferencia financiera a favor de la Contraloría General de la República</w:t>
            </w:r>
          </w:p>
        </w:tc>
      </w:tr>
      <w:tr>
        <w:tc>
          <w:tcPr>
            <w:tcW w:type="dxa" w:w="1247"/>
          </w:tcPr>
          <w:p>
            <w:r>
              <w:rPr>
                <w:sz w:val="18"/>
              </w:rPr>
              <w:t>22/10/2026</w:t>
            </w:r>
          </w:p>
        </w:tc>
        <w:tc>
          <w:tcPr>
            <w:tcW w:type="dxa" w:w="1984"/>
          </w:tcPr>
          <w:p>
            <w:r>
              <w:rPr>
                <w:sz w:val="18"/>
              </w:rPr>
              <w:t>TRABAJO Y PROMOCIÓN DEL EMPLEO</w:t>
            </w:r>
          </w:p>
        </w:tc>
        <w:tc>
          <w:tcPr>
            <w:tcW w:type="dxa" w:w="2268"/>
          </w:tcPr>
          <w:p>
            <w:r>
              <w:rPr>
                <w:sz w:val="18"/>
              </w:rPr>
            </w:r>
            <w:hyperlink r:id="rId13">
              <w:r>
                <w:rPr>
                  <w:color w:val="0563C1"/>
                  <w:u w:val="single"/>
                </w:rPr>
                <w:t>DECRETO SUPREMO  N° 019-2026-TR</w:t>
              </w:r>
            </w:hyperlink>
          </w:p>
        </w:tc>
        <w:tc>
          <w:tcPr>
            <w:tcW w:type="dxa" w:w="4139"/>
          </w:tcPr>
          <w:p>
            <w:r>
              <w:rPr>
                <w:sz w:val="18"/>
              </w:rPr>
              <w:t>Decreto Supremo que autoriza la transferencia financiera del aporte total Programa de Empleo Temporal Llamkasun Perú a favor de organismos ejecutores del sector público con los cuales se han suscrito seiscientos noventa y tres (693) convenios para financiar la ejecución de actividades de intervención inmediata (AII-95) en los distritos comprendidos en el ámbito de la focalización geográfica del Programa de Empleo Temporal Llamkasun Perú - 2026-II</w:t>
            </w:r>
          </w:p>
        </w:tc>
      </w:tr>
    </w:tbl>
    <w:p/>
    <w:p>
      <w:pPr>
        <w:pStyle w:val="Heading3"/>
      </w:pPr>
      <w:r>
        <w:t>ACUERDO  N° 164-2026-GRA/CR-SO.</w:t>
      </w:r>
    </w:p>
    <w:p>
      <w:r>
        <w:rPr>
          <w:b/>
        </w:rPr>
        <w:t xml:space="preserve">Entidad: </w:t>
      </w:r>
      <w:r>
        <w:t xml:space="preserve">GOBIERNO REGIONAL DE AMAZONAS   </w:t>
      </w:r>
      <w:r>
        <w:rPr>
          <w:b/>
        </w:rPr>
        <w:t xml:space="preserve">Fecha: </w:t>
      </w:r>
      <w:r>
        <w:t>22/10/2026</w:t>
      </w:r>
    </w:p>
    <w:p>
      <w:r>
        <w:rPr>
          <w:b/>
        </w:rPr>
        <w:t xml:space="preserve">Temas: </w:t>
      </w:r>
      <w:r>
        <w:t>Normatividad presupuestal</w:t>
      </w:r>
    </w:p>
    <w:p>
      <w:r>
        <w:rPr>
          <w:b/>
        </w:rPr>
        <w:t xml:space="preserve">Sumilla: </w:t>
      </w:r>
      <w:r>
        <w:t>Aprueban reducción del Marco Presupuestal en la Fuente de Financiamiento Recursos Directamente Recaudados (RDR) para el Año Fiscal 2026</w:t>
      </w:r>
    </w:p>
    <w:p>
      <w:r>
        <w:rPr>
          <w:b/>
        </w:rPr>
        <w:t xml:space="preserve">Dispone: </w:t>
      </w:r>
      <w:r>
        <w:t>Artículo 16 de la Ley N° 27867 - Ley Orgánica de Gobiernos Regionales y sus modificatorias, Derechos y obligaciones funcionales de los Consejeros Regionales, señala que, son derechos y obligaciones funcionales de los Consejeros Regionales: Fiscalizar los actos de los órganos de dirección y administración del Gobierno Regional u otros de interés general; Que, el Artículo 39° de la Ley Orgánica de los Gobiernos Regionales, Los Acuerdos del Consejo Regional expresan l a decisión de este órgano sobre asuntos internos del Consejo Regional, de interés público, ciudadano o institucional o declara su voluntad de practicar un determinado acto o sujetarse a una conducta o norma institucional. Los…</w:t>
      </w:r>
    </w:p>
    <w:p>
      <w:hyperlink r:id="rId9">
        <w:r>
          <w:rPr>
            <w:color w:val="0563C1"/>
            <w:u w:val="single"/>
          </w:rPr>
          <w:t>Ver texto completo</w:t>
        </w:r>
      </w:hyperlink>
      <w:r>
        <w:t xml:space="preserve">   </w:t>
      </w:r>
      <w:hyperlink r:id="rId14">
        <w:r>
          <w:rPr>
            <w:color w:val="0563C1"/>
            <w:u w:val="single"/>
          </w:rPr>
          <w:t>Ver en El Peruano</w:t>
        </w:r>
      </w:hyperlink>
      <w:r>
        <w:t xml:space="preserve">   </w:t>
      </w:r>
      <w:hyperlink r:id="rId15">
        <w:r>
          <w:rPr>
            <w:color w:val="0563C1"/>
            <w:u w:val="single"/>
          </w:rPr>
          <w:t>PDF</w:t>
        </w:r>
      </w:hyperlink>
    </w:p>
    <w:p>
      <w:pPr>
        <w:pStyle w:val="Heading3"/>
      </w:pPr>
      <w:r>
        <w:t>ACUERDO  N° 000184 -2026-GRLL-CR</w:t>
      </w:r>
    </w:p>
    <w:p>
      <w:r>
        <w:rPr>
          <w:b/>
        </w:rPr>
        <w:t xml:space="preserve">Entidad: </w:t>
      </w:r>
      <w:r>
        <w:t xml:space="preserve">GOBIERNO REGIONAL DE LA LIBERTAD   </w:t>
      </w:r>
      <w:r>
        <w:rPr>
          <w:b/>
        </w:rPr>
        <w:t xml:space="preserve">Fecha: </w:t>
      </w:r>
      <w:r>
        <w:t>22/10/2026</w:t>
      </w:r>
    </w:p>
    <w:p>
      <w:r>
        <w:rPr>
          <w:b/>
        </w:rPr>
        <w:t xml:space="preserve">Temas: </w:t>
      </w:r>
      <w:r>
        <w:t>Normatividad presupuestal</w:t>
      </w:r>
    </w:p>
    <w:p>
      <w:r>
        <w:rPr>
          <w:b/>
        </w:rPr>
        <w:t xml:space="preserve">Sumilla: </w:t>
      </w:r>
      <w:r>
        <w:t>Modifican y rectifican el Acuerdo Regional Nº 000287-2025-GRLL-CR que autorizó transferencia financiera a favor de la Contraloría General de la República</w:t>
      </w:r>
    </w:p>
    <w:p>
      <w:r>
        <w:rPr>
          <w:b/>
        </w:rPr>
        <w:t xml:space="preserve">Dispone: </w:t>
      </w:r>
      <w:r>
        <w:t>Artículo 15º de la Ley Nº 27867, Ley Orgánica de Gobiernos Regionales, establece que es atribución del Consejo Regional aprobar y modificar o derogar las normas que regulen y reglamenten los asuntos y materia de competencia y funciones del Gobierno Regional y aprobar los Estados financieros y Presupuestarios; Que, el artículo 15, literal a), de la Ley Nº 27867 – Ley Orgánica de Gobiernos Regionales, el Consejo Regional tiene la atribución de aprobar, modificar o derogar los acuerdos regionales vinculados a materias de competencia del Gobierno Regional; asimismo, conforme al artículo 39 de la citada norma, los acuerdos regionales constituyen manifestaciones de voluntad institucional sobre…</w:t>
      </w:r>
    </w:p>
    <w:p>
      <w:r>
        <w:rPr>
          <w:b/>
        </w:rPr>
        <w:t xml:space="preserve">Montos citados: </w:t>
      </w:r>
      <w:r>
        <w:t>S/ 419,268.00, S/ 21,319.00, S/ 419</w:t>
      </w:r>
    </w:p>
    <w:p>
      <w:hyperlink r:id="rId10">
        <w:r>
          <w:rPr>
            <w:color w:val="0563C1"/>
            <w:u w:val="single"/>
          </w:rPr>
          <w:t>Ver texto completo</w:t>
        </w:r>
      </w:hyperlink>
      <w:r>
        <w:t xml:space="preserve">   </w:t>
      </w:r>
      <w:hyperlink r:id="rId16">
        <w:r>
          <w:rPr>
            <w:color w:val="0563C1"/>
            <w:u w:val="single"/>
          </w:rPr>
          <w:t>Ver en El Peruano</w:t>
        </w:r>
      </w:hyperlink>
      <w:r>
        <w:t xml:space="preserve">   </w:t>
      </w:r>
      <w:hyperlink r:id="rId17">
        <w:r>
          <w:rPr>
            <w:color w:val="0563C1"/>
            <w:u w:val="single"/>
          </w:rPr>
          <w:t>PDF</w:t>
        </w:r>
      </w:hyperlink>
    </w:p>
    <w:p>
      <w:pPr>
        <w:pStyle w:val="Heading3"/>
      </w:pPr>
      <w:r>
        <w:t>ACUERDO  N° 000187-2026-GRLL-CR</w:t>
      </w:r>
    </w:p>
    <w:p>
      <w:r>
        <w:rPr>
          <w:b/>
        </w:rPr>
        <w:t xml:space="preserve">Entidad: </w:t>
      </w:r>
      <w:r>
        <w:t xml:space="preserve">GOBIERNO REGIONAL DE LA LIBERTAD   </w:t>
      </w:r>
      <w:r>
        <w:rPr>
          <w:b/>
        </w:rPr>
        <w:t xml:space="preserve">Fecha: </w:t>
      </w:r>
      <w:r>
        <w:t>22/10/2026</w:t>
      </w:r>
    </w:p>
    <w:p>
      <w:r>
        <w:rPr>
          <w:b/>
        </w:rPr>
        <w:t xml:space="preserve">Temas: </w:t>
      </w:r>
      <w:r>
        <w:t>Normatividad presupuestal, Inversiones</w:t>
      </w:r>
    </w:p>
    <w:p>
      <w:r>
        <w:rPr>
          <w:b/>
        </w:rPr>
        <w:t xml:space="preserve">Sumilla: </w:t>
      </w:r>
      <w:r>
        <w:t>Autorizar transferencia financiera a favor de la Autoridad Nacional de Infraestructura (ANIN)</w:t>
      </w:r>
    </w:p>
    <w:p>
      <w:r>
        <w:rPr>
          <w:b/>
        </w:rPr>
        <w:t xml:space="preserve">Montos citados: </w:t>
      </w:r>
      <w:r>
        <w:t>S/ 15,103,589.23, S/ 5,000,000.00, S/ 10,103,589.23, S/ 12,960,036.00</w:t>
      </w:r>
    </w:p>
    <w:p>
      <w:hyperlink r:id="rId11">
        <w:r>
          <w:rPr>
            <w:color w:val="0563C1"/>
            <w:u w:val="single"/>
          </w:rPr>
          <w:t>Ver texto completo</w:t>
        </w:r>
      </w:hyperlink>
      <w:r>
        <w:t xml:space="preserve">   </w:t>
      </w:r>
      <w:hyperlink r:id="rId18">
        <w:r>
          <w:rPr>
            <w:color w:val="0563C1"/>
            <w:u w:val="single"/>
          </w:rPr>
          <w:t>Ver en El Peruano</w:t>
        </w:r>
      </w:hyperlink>
      <w:r>
        <w:t xml:space="preserve">   </w:t>
      </w:r>
      <w:hyperlink r:id="rId19">
        <w:r>
          <w:rPr>
            <w:color w:val="0563C1"/>
            <w:u w:val="single"/>
          </w:rPr>
          <w:t>PDF</w:t>
        </w:r>
      </w:hyperlink>
    </w:p>
    <w:p>
      <w:pPr>
        <w:pStyle w:val="Heading3"/>
      </w:pPr>
      <w:r>
        <w:t>ACUERDO  N° 000193 -2026-GRLL-CR</w:t>
      </w:r>
    </w:p>
    <w:p>
      <w:r>
        <w:rPr>
          <w:b/>
        </w:rPr>
        <w:t xml:space="preserve">Entidad: </w:t>
      </w:r>
      <w:r>
        <w:t xml:space="preserve">GOBIERNO REGIONAL DE LA LIBERTAD   </w:t>
      </w:r>
      <w:r>
        <w:rPr>
          <w:b/>
        </w:rPr>
        <w:t xml:space="preserve">Fecha: </w:t>
      </w:r>
      <w:r>
        <w:t>22/10/2026</w:t>
      </w:r>
    </w:p>
    <w:p>
      <w:r>
        <w:rPr>
          <w:b/>
        </w:rPr>
        <w:t xml:space="preserve">Temas: </w:t>
      </w:r>
      <w:r>
        <w:t>Normatividad presupuestal</w:t>
      </w:r>
    </w:p>
    <w:p>
      <w:r>
        <w:rPr>
          <w:b/>
        </w:rPr>
        <w:t xml:space="preserve">Sumilla: </w:t>
      </w:r>
      <w:r>
        <w:t>Aprueban transferencia financiera a favor de la Contraloría General de la República</w:t>
      </w:r>
    </w:p>
    <w:p>
      <w:r>
        <w:rPr>
          <w:b/>
        </w:rPr>
        <w:t xml:space="preserve">Montos citados: </w:t>
      </w:r>
      <w:r>
        <w:t>S/ 419,268.00, S/ 63,957.00, S/ 442,096.00</w:t>
      </w:r>
    </w:p>
    <w:p>
      <w:hyperlink r:id="rId12">
        <w:r>
          <w:rPr>
            <w:color w:val="0563C1"/>
            <w:u w:val="single"/>
          </w:rPr>
          <w:t>Ver texto completo</w:t>
        </w:r>
      </w:hyperlink>
      <w:r>
        <w:t xml:space="preserve">   </w:t>
      </w:r>
      <w:hyperlink r:id="rId20">
        <w:r>
          <w:rPr>
            <w:color w:val="0563C1"/>
            <w:u w:val="single"/>
          </w:rPr>
          <w:t>Ver en El Peruano</w:t>
        </w:r>
      </w:hyperlink>
      <w:r>
        <w:t xml:space="preserve">   </w:t>
      </w:r>
      <w:hyperlink r:id="rId21">
        <w:r>
          <w:rPr>
            <w:color w:val="0563C1"/>
            <w:u w:val="single"/>
          </w:rPr>
          <w:t>PDF</w:t>
        </w:r>
      </w:hyperlink>
    </w:p>
    <w:p>
      <w:pPr>
        <w:pStyle w:val="Heading3"/>
      </w:pPr>
      <w:r>
        <w:t>DECRETO SUPREMO  N° 019-2026-TR</w:t>
      </w:r>
    </w:p>
    <w:p>
      <w:r>
        <w:rPr>
          <w:b/>
        </w:rPr>
        <w:t xml:space="preserve">Entidad: </w:t>
      </w:r>
      <w:r>
        <w:t xml:space="preserve">TRABAJO Y PROMOCIÓN DEL EMPLEO   </w:t>
      </w:r>
      <w:r>
        <w:rPr>
          <w:b/>
        </w:rPr>
        <w:t xml:space="preserve">Fecha: </w:t>
      </w:r>
      <w:r>
        <w:t>22/10/2026</w:t>
      </w:r>
    </w:p>
    <w:p>
      <w:r>
        <w:rPr>
          <w:b/>
        </w:rPr>
        <w:t xml:space="preserve">Temas: </w:t>
      </w:r>
      <w:r>
        <w:t>Normatividad presupuestal</w:t>
      </w:r>
    </w:p>
    <w:p>
      <w:r>
        <w:rPr>
          <w:b/>
        </w:rPr>
        <w:t xml:space="preserve">Sumilla: </w:t>
      </w:r>
      <w:r>
        <w:t>Decreto Supremo que autoriza la transferencia financiera del aporte total Programa de Empleo Temporal Llamkasun Perú a favor de organismos ejecutores del sector público con los cuales se han suscrito seiscientos noventa y tres (693) convenios para financiar la ejecución de actividades de intervención inmediata (AII-95) en los distritos comprendidos en el ámbito de la focalización geográfica del Programa de Empleo Temporal Llamkasun Perú - 2026-II</w:t>
      </w:r>
    </w:p>
    <w:p>
      <w:r>
        <w:rPr>
          <w:b/>
        </w:rPr>
        <w:t xml:space="preserve">Dispone: </w:t>
      </w:r>
      <w:r>
        <w:t>Artículo 1.- Objeto Se autoriza la transferencia financiera del Programa de Empleo Temporal “Llamkasun Perú” a favor de seiscientos noventa y tres (693) organismos ejecutores del sector público, con los cuales se han suscrito igual número de convenios con el objeto de financiar la ejecución de actividades de intervención inmediata (AII-95) en los distritos comprendidos en el ámbito de la focalización geográfica del Programa de Empleo Temporal “Llamkasun Perú ” - 2026-II, por el importe total de S/ 129 148 581,00 (Ciento Veintinueve Millones Ciento Cuarenta y Ocho Mil Quinientos Ochenta y Uno y 00/100 Soles), conforme al Anexo que forma parte integrante del presente Decreto Supremo. Artículo…</w:t>
      </w:r>
    </w:p>
    <w:p>
      <w:r>
        <w:rPr>
          <w:b/>
        </w:rPr>
        <w:t xml:space="preserve">Montos citados: </w:t>
      </w:r>
      <w:r>
        <w:t>S/ 129</w:t>
      </w:r>
    </w:p>
    <w:p>
      <w:hyperlink r:id="rId13">
        <w:r>
          <w:rPr>
            <w:color w:val="0563C1"/>
            <w:u w:val="single"/>
          </w:rPr>
          <w:t>Ver texto completo</w:t>
        </w:r>
      </w:hyperlink>
      <w:r>
        <w:t xml:space="preserve">   </w:t>
      </w:r>
      <w:hyperlink r:id="rId22">
        <w:r>
          <w:rPr>
            <w:color w:val="0563C1"/>
            <w:u w:val="single"/>
          </w:rPr>
          <w:t>Ver en El Peruano</w:t>
        </w:r>
      </w:hyperlink>
      <w:r>
        <w:t xml:space="preserve">   </w:t>
      </w:r>
      <w:hyperlink r:id="rId23">
        <w:r>
          <w:rPr>
            <w:color w:val="0563C1"/>
            <w:u w:val="single"/>
          </w:rPr>
          <w:t>PDF</w:t>
        </w:r>
      </w:hyperlink>
    </w:p>
    <w:p>
      <w:pPr>
        <w:pStyle w:val="Heading1"/>
      </w:pPr>
      <w:r>
        <w:t>3. Inversiones (1)</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val="clear" w:color="auto" w:fill="1F4E79"/>
          </w:tcPr>
          <w:p>
            <w:r>
              <w:rPr>
                <w:b/>
                <w:color w:val="FFFFFF"/>
                <w:sz w:val="18"/>
              </w:rPr>
              <w:t>Fecha</w:t>
            </w:r>
          </w:p>
        </w:tc>
        <w:tc>
          <w:tcPr>
            <w:tcW w:type="dxa" w:w="1984"/>
            <w:shd w:val="clear" w:color="auto" w:fill="1F4E79"/>
          </w:tcPr>
          <w:p>
            <w:r>
              <w:rPr>
                <w:b/>
                <w:color w:val="FFFFFF"/>
                <w:sz w:val="18"/>
              </w:rPr>
              <w:t>Entidad</w:t>
            </w:r>
          </w:p>
        </w:tc>
        <w:tc>
          <w:tcPr>
            <w:tcW w:type="dxa" w:w="2268"/>
            <w:shd w:val="clear" w:color="auto" w:fill="1F4E79"/>
          </w:tcPr>
          <w:p>
            <w:r>
              <w:rPr>
                <w:b/>
                <w:color w:val="FFFFFF"/>
                <w:sz w:val="18"/>
              </w:rPr>
              <w:t>Norma</w:t>
            </w:r>
          </w:p>
        </w:tc>
        <w:tc>
          <w:tcPr>
            <w:tcW w:type="dxa" w:w="4139"/>
            <w:shd w:val="clear" w:color="auto" w:fill="1F4E79"/>
          </w:tcPr>
          <w:p>
            <w:r>
              <w:rPr>
                <w:b/>
                <w:color w:val="FFFFFF"/>
                <w:sz w:val="18"/>
              </w:rPr>
              <w:t>Sumilla</w:t>
            </w:r>
          </w:p>
        </w:tc>
      </w:tr>
      <w:tr>
        <w:tc>
          <w:tcPr>
            <w:tcW w:type="dxa" w:w="1247"/>
          </w:tcPr>
          <w:p>
            <w:r>
              <w:rPr>
                <w:sz w:val="18"/>
              </w:rPr>
              <w:t>22/10/2026</w:t>
            </w:r>
          </w:p>
        </w:tc>
        <w:tc>
          <w:tcPr>
            <w:tcW w:type="dxa" w:w="1984"/>
          </w:tcPr>
          <w:p>
            <w:r>
              <w:rPr>
                <w:sz w:val="18"/>
              </w:rPr>
              <w:t>DEFENSA</w:t>
            </w:r>
          </w:p>
        </w:tc>
        <w:tc>
          <w:tcPr>
            <w:tcW w:type="dxa" w:w="2268"/>
          </w:tcPr>
          <w:p>
            <w:r>
              <w:rPr>
                <w:sz w:val="18"/>
              </w:rPr>
            </w:r>
            <w:hyperlink r:id="rId24">
              <w:r>
                <w:rPr>
                  <w:color w:val="0563C1"/>
                  <w:u w:val="single"/>
                </w:rPr>
                <w:t>RESOLUCIÓN MINISTERIAL  N° 01292-2026-DE</w:t>
              </w:r>
            </w:hyperlink>
          </w:p>
        </w:tc>
        <w:tc>
          <w:tcPr>
            <w:tcW w:type="dxa" w:w="4139"/>
          </w:tcPr>
          <w:p>
            <w:r>
              <w:rPr>
                <w:sz w:val="18"/>
              </w:rPr>
              <w:t>Aprueban relación de servicios que pueden ejecutarse bajo el régimen excepcional del mecanismo de Obras por Impuestos en el marco de lo establecido por el Decreto de Urgencia N° 010-2026</w:t>
            </w:r>
          </w:p>
        </w:tc>
      </w:tr>
    </w:tbl>
    <w:p/>
    <w:p>
      <w:pPr>
        <w:pStyle w:val="Heading3"/>
      </w:pPr>
      <w:r>
        <w:t>RESOLUCIÓN MINISTERIAL  N° 01292-2026-DE</w:t>
      </w:r>
    </w:p>
    <w:p>
      <w:r>
        <w:rPr>
          <w:b/>
        </w:rPr>
        <w:t xml:space="preserve">Entidad: </w:t>
      </w:r>
      <w:r>
        <w:t xml:space="preserve">DEFENSA   </w:t>
      </w:r>
      <w:r>
        <w:rPr>
          <w:b/>
        </w:rPr>
        <w:t xml:space="preserve">Fecha: </w:t>
      </w:r>
      <w:r>
        <w:t>22/10/2026</w:t>
      </w:r>
    </w:p>
    <w:p>
      <w:r>
        <w:rPr>
          <w:b/>
        </w:rPr>
        <w:t xml:space="preserve">Temas: </w:t>
      </w:r>
      <w:r>
        <w:t>Inversiones</w:t>
      </w:r>
    </w:p>
    <w:p>
      <w:r>
        <w:rPr>
          <w:b/>
        </w:rPr>
        <w:t xml:space="preserve">Sumilla: </w:t>
      </w:r>
      <w:r>
        <w:t>Aprueban relación de servicios que pueden ejecutarse bajo el régimen excepcional del mecanismo de Obras por Impuestos en el marco de lo establecido por el Decreto de Urgencia N° 010-2026</w:t>
      </w:r>
    </w:p>
    <w:p>
      <w:r>
        <w:rPr>
          <w:b/>
        </w:rPr>
        <w:t xml:space="preserve">Dispone: </w:t>
      </w:r>
      <w:r>
        <w:t>Artículo 1.- Objeto Aprobar la relación de servicios que pueden ejecutarse bajo el régimen excepcional del mecanismo de Obras por Impuestos, en el marco de lo establecido por el Decreto de Urgencia Nº 010-2026, y que se detallan en el Anexo I, así como sus respectivos contenidos mínimos, precisados en el Anexo II, los cuales forman parte integrante de la presente Resolución Ministerial. Artículo 2.- Remisión a PROINVERSIÓN Remitir copia de la presente Resolución Ministerial y de sus Anexos I y II a la Agencia de Promoción de la Inversión Privada (PROINVERSIÓN), para los fines pertinentes, en el marco del seguimiento y difusión del mecanismo de Obras por Impuestos. Artículo 3.- Notificación…</w:t>
      </w:r>
    </w:p>
    <w:p>
      <w:hyperlink r:id="rId24">
        <w:r>
          <w:rPr>
            <w:color w:val="0563C1"/>
            <w:u w:val="single"/>
          </w:rPr>
          <w:t>Ver texto completo</w:t>
        </w:r>
      </w:hyperlink>
      <w:r>
        <w:t xml:space="preserve">   </w:t>
      </w:r>
      <w:hyperlink r:id="rId25">
        <w:r>
          <w:rPr>
            <w:color w:val="0563C1"/>
            <w:u w:val="single"/>
          </w:rPr>
          <w:t>Ver en El Peruano</w:t>
        </w:r>
      </w:hyperlink>
      <w:r>
        <w:t xml:space="preserve">   </w:t>
      </w:r>
      <w:hyperlink r:id="rId26">
        <w:r>
          <w:rPr>
            <w:color w:val="0563C1"/>
            <w:u w:val="single"/>
          </w:rPr>
          <w:t>PDF</w:t>
        </w:r>
      </w:hyperlink>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usquedas.elperuano.pe/api/visor_html/2562100-1" TargetMode="External"/><Relationship Id="rId10" Type="http://schemas.openxmlformats.org/officeDocument/2006/relationships/hyperlink" Target="https://busquedas.elperuano.pe/api/visor_html/2566489-1" TargetMode="External"/><Relationship Id="rId11" Type="http://schemas.openxmlformats.org/officeDocument/2006/relationships/hyperlink" Target="https://busquedas.elperuano.pe/api/visor_html/2566493-1" TargetMode="External"/><Relationship Id="rId12" Type="http://schemas.openxmlformats.org/officeDocument/2006/relationships/hyperlink" Target="https://busquedas.elperuano.pe/api/visor_html/2566496-1" TargetMode="External"/><Relationship Id="rId13" Type="http://schemas.openxmlformats.org/officeDocument/2006/relationships/hyperlink" Target="https://busquedas.elperuano.pe/api/visor_html/2567163-4" TargetMode="External"/><Relationship Id="rId14" Type="http://schemas.openxmlformats.org/officeDocument/2006/relationships/hyperlink" Target="https://busquedas.elperuano.pe/dispositivo/NL/2562100-1" TargetMode="External"/><Relationship Id="rId15" Type="http://schemas.openxmlformats.org/officeDocument/2006/relationships/hyperlink" Target="https://busquedas.elperuano.pe/dispositivo/NL/2562100-1/pdf" TargetMode="External"/><Relationship Id="rId16" Type="http://schemas.openxmlformats.org/officeDocument/2006/relationships/hyperlink" Target="https://busquedas.elperuano.pe/dispositivo/NL/2566489-1" TargetMode="External"/><Relationship Id="rId17" Type="http://schemas.openxmlformats.org/officeDocument/2006/relationships/hyperlink" Target="https://busquedas.elperuano.pe/dispositivo/NL/2566489-1/pdf" TargetMode="External"/><Relationship Id="rId18" Type="http://schemas.openxmlformats.org/officeDocument/2006/relationships/hyperlink" Target="https://busquedas.elperuano.pe/dispositivo/NL/2566493-1" TargetMode="External"/><Relationship Id="rId19" Type="http://schemas.openxmlformats.org/officeDocument/2006/relationships/hyperlink" Target="https://busquedas.elperuano.pe/dispositivo/NL/2566493-1/pdf" TargetMode="External"/><Relationship Id="rId20" Type="http://schemas.openxmlformats.org/officeDocument/2006/relationships/hyperlink" Target="https://busquedas.elperuano.pe/dispositivo/NL/2566496-1" TargetMode="External"/><Relationship Id="rId21" Type="http://schemas.openxmlformats.org/officeDocument/2006/relationships/hyperlink" Target="https://busquedas.elperuano.pe/dispositivo/NL/2566496-1/pdf" TargetMode="External"/><Relationship Id="rId22" Type="http://schemas.openxmlformats.org/officeDocument/2006/relationships/hyperlink" Target="https://busquedas.elperuano.pe/dispositivo/NL/2567163-4" TargetMode="External"/><Relationship Id="rId23" Type="http://schemas.openxmlformats.org/officeDocument/2006/relationships/hyperlink" Target="https://busquedas.elperuano.pe/dispositivo/NL/2567163-4/pdf" TargetMode="External"/><Relationship Id="rId24" Type="http://schemas.openxmlformats.org/officeDocument/2006/relationships/hyperlink" Target="https://busquedas.elperuano.pe/api/visor_html/2567161-1" TargetMode="External"/><Relationship Id="rId25" Type="http://schemas.openxmlformats.org/officeDocument/2006/relationships/hyperlink" Target="https://busquedas.elperuano.pe/dispositivo/NL/2567161-1" TargetMode="External"/><Relationship Id="rId26" Type="http://schemas.openxmlformats.org/officeDocument/2006/relationships/hyperlink" Target="https://busquedas.elperuano.pe/dispositivo/NL/2567161-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