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25/10/2026</w:t>
        <w:br/>
      </w:r>
      <w:r>
        <w:t>Generado: 26/10/2026 10:14  ·  Fuente: diariooficial.elperuano.pe</w:t>
      </w:r>
    </w:p>
    <w:p>
      <w:pPr>
        <w:pStyle w:val="Heading1"/>
      </w:pPr>
      <w:r>
        <w:t>1. Resumen ejecutivo</w:t>
      </w:r>
    </w:p>
    <w:p>
      <w:r>
        <w:t>Se revisaron 47 normas publicadas en el periodo. 4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</w:tbl>
    <w:p>
      <w:pPr>
        <w:pStyle w:val="Heading1"/>
      </w:pPr>
      <w:r>
        <w:t>2. Normatividad presupuestal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RESOLUCIÓN DIRECTORAL  N° 0024-2026-EF/50.01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Resolución Directoral que aprueba los Procedimientos para el cumplimiento de indicadores y metas de la transferencia condicionada al Programa Presupuestal 0030: Reducción de delitos y faltas que afectan la seguridad ciudadana correspondiente al segundo semestre del 2026 y primer semestre del 2027 y anexos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25/10/2026 (Ext.)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SEGURO INTEGRAL DE SALUD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0">
              <w:r>
                <w:rPr>
                  <w:color w:val="0563C1"/>
                  <w:u w:val="single"/>
                </w:rPr>
                <w:t>RESOLUCIÓN JEFATURAL N° 000166-2026-SIS/J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Aprueban Transferencia Financiera a favor de unidades ejecutoras para financiar prestaciones de salud y administrativas vinculadas a traslados de emergencia</w:t>
            </w:r>
          </w:p>
        </w:tc>
      </w:tr>
    </w:tbl>
    <w:p/>
    <w:p>
      <w:pPr>
        <w:pStyle w:val="Heading3"/>
      </w:pPr>
      <w:r>
        <w:t>RESOLUCIÓN DIRECTORAL  N° 0024-2026-EF/50.01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25/10/2026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Resolución Directoral que aprueba los Procedimientos para el cumplimiento de indicadores y metas de la transferencia condicionada al Programa Presupuestal 0030: Reducción de delitos y faltas que afectan la seguridad ciudadana correspondiente al segundo semestre del 2026 y primer semestre del 2027 y anexos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2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JEFATURAL N° 000166-2026-SIS/J</w:t>
      </w:r>
    </w:p>
    <w:p>
      <w:r>
        <w:rPr>
          <w:b/>
        </w:rPr>
        <w:t xml:space="preserve">Entidad: </w:t>
      </w:r>
      <w:r>
        <w:t xml:space="preserve">SEGURO INTEGRAL DE SALUD   </w:t>
      </w:r>
      <w:r>
        <w:rPr>
          <w:b/>
        </w:rPr>
        <w:t xml:space="preserve">Fecha: </w:t>
      </w:r>
      <w:r>
        <w:t>25/10/2026  (Edición Extraordinaria)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Aprueban Transferencia Financiera a favor de unidades ejecutoras para financiar prestaciones de salud y administrativas vinculadas a traslados de emergencia</w:t>
      </w:r>
    </w:p>
    <w:p>
      <w:hyperlink r:id="rId10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4">
        <w:r>
          <w:rPr>
            <w:color w:val="0563C1"/>
            <w:u w:val="single"/>
          </w:rPr>
          <w:t>PDF</w:t>
        </w:r>
      </w:hyperlink>
    </w:p>
    <w:p>
      <w:pPr>
        <w:pStyle w:val="Heading1"/>
      </w:pPr>
      <w:r>
        <w:t>3. Inversiones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AMBIENTE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5">
              <w:r>
                <w:rPr>
                  <w:color w:val="0563C1"/>
                  <w:u w:val="single"/>
                </w:rPr>
                <w:t>RESOLUCIÓN MINISTERIAL  N° D000347-2026-MINAM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Modifican la primera actualización del Listado de Inclusión de los Proyectos de Inversión sujetos al Sistema Nacional de Evaluación de Impacto Ambiental-SEIA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DESARROLLO AGRARIO Y RIEGO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6">
              <w:r>
                <w:rPr>
                  <w:color w:val="0563C1"/>
                  <w:u w:val="single"/>
                </w:rPr>
                <w:t>RESOLUCIÓN  N° D000217-2026-MIDAGRI-SERFOR-DE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Aprueba la actualización del Protocolo de presentación y revisión del expediente técnico de Zonificación Forestal</w:t>
            </w:r>
          </w:p>
        </w:tc>
      </w:tr>
    </w:tbl>
    <w:p/>
    <w:p>
      <w:pPr>
        <w:pStyle w:val="Heading3"/>
      </w:pPr>
      <w:r>
        <w:t>RESOLUCIÓN MINISTERIAL  N° D000347-2026-MINAM</w:t>
      </w:r>
    </w:p>
    <w:p>
      <w:r>
        <w:rPr>
          <w:b/>
        </w:rPr>
        <w:t xml:space="preserve">Entidad: </w:t>
      </w:r>
      <w:r>
        <w:t xml:space="preserve">AMBIENTE   </w:t>
      </w:r>
      <w:r>
        <w:rPr>
          <w:b/>
        </w:rPr>
        <w:t xml:space="preserve">Fecha: </w:t>
      </w:r>
      <w:r>
        <w:t>25/10/2026</w:t>
      </w:r>
    </w:p>
    <w:p>
      <w:r>
        <w:rPr>
          <w:b/>
        </w:rPr>
        <w:t xml:space="preserve">Temas: </w:t>
      </w:r>
      <w:r>
        <w:t>Inversiones</w:t>
      </w:r>
    </w:p>
    <w:p>
      <w:r>
        <w:rPr>
          <w:b/>
        </w:rPr>
        <w:t xml:space="preserve">Sumilla: </w:t>
      </w:r>
      <w:r>
        <w:t>Modifican la primera actualización del Listado de Inclusión de los Proyectos de Inversión sujetos al Sistema Nacional de Evaluación de Impacto Ambiental-SEIA</w:t>
      </w:r>
    </w:p>
    <w:p>
      <w:r>
        <w:rPr>
          <w:b/>
        </w:rPr>
        <w:t xml:space="preserve">Dispone: </w:t>
      </w:r>
      <w:r>
        <w:t>Artículo 1.- Modificar la Primera Actualización del Listado de Inclusión de los Proyectos de Inversión sujetos al Sistema Nacional de Evaluación de Impacto Ambiental - SEIA, aprobada mediante Resolución Ministerial Nº 157-2011-MINAM y normas modificatorias, con el objeto de incorporar una nota respecto de los proyectos de inversión del Sector Saneamiento, conforme al siguiente detalle: SECTOR GOBIERNO NACIONAL - SECTORIAL GOBIERNO REGIONAL GOBIERNO LOCAL SANEAMIENTO Ministerio de Vivienda, Construcción y Saneamiento Saneamiento 7. Represamiento de agua para potabilización. 8. Proyectos Integrales de Agua y Saneamiento para poblaciones mayores a 15,000 habitantes. 9. Proyectos integrales de…</w:t>
      </w:r>
    </w:p>
    <w:p>
      <w:hyperlink r:id="rId15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7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8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 N° D000217-2026-MIDAGRI-SERFOR-DE</w:t>
      </w:r>
    </w:p>
    <w:p>
      <w:r>
        <w:rPr>
          <w:b/>
        </w:rPr>
        <w:t xml:space="preserve">Entidad: </w:t>
      </w:r>
      <w:r>
        <w:t xml:space="preserve">DESARROLLO AGRARIO Y RIEGO   </w:t>
      </w:r>
      <w:r>
        <w:rPr>
          <w:b/>
        </w:rPr>
        <w:t xml:space="preserve">Fecha: </w:t>
      </w:r>
      <w:r>
        <w:t>25/10/2026</w:t>
      </w:r>
    </w:p>
    <w:p>
      <w:r>
        <w:rPr>
          <w:b/>
        </w:rPr>
        <w:t xml:space="preserve">Temas: </w:t>
      </w:r>
      <w:r>
        <w:t>Inversiones</w:t>
      </w:r>
    </w:p>
    <w:p>
      <w:r>
        <w:rPr>
          <w:b/>
        </w:rPr>
        <w:t xml:space="preserve">Sumilla: </w:t>
      </w:r>
      <w:r>
        <w:t>Aprueba la actualización del Protocolo de presentación y revisión del expediente técnico de Zonificación Forestal</w:t>
      </w:r>
    </w:p>
    <w:p>
      <w:r>
        <w:rPr>
          <w:b/>
        </w:rPr>
        <w:t xml:space="preserve">Dispone: </w:t>
      </w:r>
      <w:r>
        <w:t>Artículo 1.- Aprobar la actualización del “Protocolo de presentación y revisión del expediente técnico de Zonificación Forestal”, que como Anexo forma parte integrante de la presente resolución. Artículo 2.- Dejar sin efecto la Resolución de Dirección Ejecutiva Nº 268-2018-MINAGRI-SERFOR/DE que aprueba el “Protocolo de presentación y revisión del expediente técnico de Zonificación Forestal”. Artículo 3.- Disponer la publicación de la presente Resolución en el Diario Oficial El Peruano, así como la publicación de dicho acto resolutivo y su Anexo en el Portal Institucional del Servicio Nacional Forestal y de Fauna Silvestre – SERFOR. ( https://www.gob.pe/serfor ). Regístrese, comuníquese y…</w:t>
      </w:r>
    </w:p>
    <w:p>
      <w:hyperlink r:id="rId16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9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20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68104-1" TargetMode="External"/><Relationship Id="rId10" Type="http://schemas.openxmlformats.org/officeDocument/2006/relationships/hyperlink" Target="https://busquedas.elperuano.pe/api/visor_html/2568160-1" TargetMode="External"/><Relationship Id="rId11" Type="http://schemas.openxmlformats.org/officeDocument/2006/relationships/hyperlink" Target="https://busquedas.elperuano.pe/dispositivo/NL/2568104-1" TargetMode="External"/><Relationship Id="rId12" Type="http://schemas.openxmlformats.org/officeDocument/2006/relationships/hyperlink" Target="https://busquedas.elperuano.pe/dispositivo/NL/2568104-1/pdf" TargetMode="External"/><Relationship Id="rId13" Type="http://schemas.openxmlformats.org/officeDocument/2006/relationships/hyperlink" Target="https://busquedas.elperuano.pe/dispositivo/EX/2568160-1" TargetMode="External"/><Relationship Id="rId14" Type="http://schemas.openxmlformats.org/officeDocument/2006/relationships/hyperlink" Target="https://busquedas.elperuano.pe/dispositivo/EX/2568160-1/pdf" TargetMode="External"/><Relationship Id="rId15" Type="http://schemas.openxmlformats.org/officeDocument/2006/relationships/hyperlink" Target="https://busquedas.elperuano.pe/api/visor_html/2568119-1" TargetMode="External"/><Relationship Id="rId16" Type="http://schemas.openxmlformats.org/officeDocument/2006/relationships/hyperlink" Target="https://busquedas.elperuano.pe/api/visor_html/2568113-1" TargetMode="External"/><Relationship Id="rId17" Type="http://schemas.openxmlformats.org/officeDocument/2006/relationships/hyperlink" Target="https://busquedas.elperuano.pe/dispositivo/NL/2568119-1" TargetMode="External"/><Relationship Id="rId18" Type="http://schemas.openxmlformats.org/officeDocument/2006/relationships/hyperlink" Target="https://busquedas.elperuano.pe/dispositivo/NL/2568119-1/pdf" TargetMode="External"/><Relationship Id="rId19" Type="http://schemas.openxmlformats.org/officeDocument/2006/relationships/hyperlink" Target="https://busquedas.elperuano.pe/dispositivo/NL/2568113-1" TargetMode="External"/><Relationship Id="rId20" Type="http://schemas.openxmlformats.org/officeDocument/2006/relationships/hyperlink" Target="https://busquedas.elperuano.pe/dispositivo/NL/2568113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