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Resumen de Normas Legales – Diario Oficial El Peruano</w:t>
      </w:r>
    </w:p>
    <w:p>
      <w:pPr>
        <w:jc w:val="center"/>
      </w:pPr>
      <w:r>
        <w:rPr>
          <w:b/>
        </w:rPr>
        <w:t>Periodo revisado: 26/10/2026</w:t>
        <w:br/>
      </w:r>
      <w:r>
        <w:t>Generado: 26/10/2026 15:29  ·  Fuente: diariooficial.elperuano.pe</w:t>
      </w:r>
    </w:p>
    <w:p>
      <w:pPr>
        <w:pStyle w:val="Heading1"/>
      </w:pPr>
      <w:r>
        <w:t>1. Resumen ejecutivo</w:t>
      </w:r>
    </w:p>
    <w:p>
      <w:r>
        <w:t>Se revisaron 12 normas publicadas en el periodo. 3 resultan de interés para la ATU por tratar sobre la entidad, la normatividad presupuestal o las inversiones.</w:t>
      </w:r>
    </w:p>
    <w:tbl>
      <w:tblPr>
        <w:tblStyle w:val="LightGrid-Accent1"/>
        <w:tblW w:type="auto" w:w="0"/>
        <w:tblLook w:firstColumn="1" w:firstRow="1" w:lastColumn="0" w:lastRow="0" w:noHBand="0" w:noVBand="1" w:val="04A0"/>
      </w:tblPr>
      <w:tblGrid>
        <w:gridCol w:w="4986"/>
        <w:gridCol w:w="4986"/>
      </w:tblGrid>
      <w:tr>
        <w:tc>
          <w:tcPr>
            <w:tcW w:type="dxa" w:w="4986"/>
          </w:tcPr>
          <w:p>
            <w:r>
              <w:t>Tema</w:t>
            </w:r>
          </w:p>
        </w:tc>
        <w:tc>
          <w:tcPr>
            <w:tcW w:type="dxa" w:w="4986"/>
          </w:tcPr>
          <w:p>
            <w:r>
              <w:t>N.° de normas</w:t>
            </w:r>
          </w:p>
        </w:tc>
      </w:tr>
      <w:tr>
        <w:tc>
          <w:tcPr>
            <w:tcW w:type="dxa" w:w="4986"/>
          </w:tcPr>
          <w:p>
            <w:r>
              <w:t>ATU y transporte urbano</w:t>
            </w:r>
          </w:p>
        </w:tc>
        <w:tc>
          <w:tcPr>
            <w:tcW w:type="dxa" w:w="4986"/>
          </w:tcPr>
          <w:p>
            <w:r>
              <w:t>1</w:t>
            </w:r>
          </w:p>
        </w:tc>
      </w:tr>
      <w:tr>
        <w:tc>
          <w:tcPr>
            <w:tcW w:type="dxa" w:w="4986"/>
          </w:tcPr>
          <w:p>
            <w:r>
              <w:t>Normatividad presupuestal</w:t>
            </w:r>
          </w:p>
        </w:tc>
        <w:tc>
          <w:tcPr>
            <w:tcW w:type="dxa" w:w="4986"/>
          </w:tcPr>
          <w:p>
            <w:r>
              <w:t>1</w:t>
            </w:r>
          </w:p>
        </w:tc>
      </w:tr>
      <w:tr>
        <w:tc>
          <w:tcPr>
            <w:tcW w:type="dxa" w:w="4986"/>
          </w:tcPr>
          <w:p>
            <w:r>
              <w:t>Inversiones</w:t>
            </w:r>
          </w:p>
        </w:tc>
        <w:tc>
          <w:tcPr>
            <w:tcW w:type="dxa" w:w="4986"/>
          </w:tcPr>
          <w:p>
            <w:r>
              <w:t>1</w:t>
            </w:r>
          </w:p>
        </w:tc>
      </w:tr>
    </w:tbl>
    <w:p/>
    <w:p>
      <w:r>
        <w:rPr>
          <w:b/>
          <w:color w:val="C00000"/>
        </w:rPr>
        <w:t>Atención – normas que mencionan a la ATU o al transporte urbano de Lima y Callao:</w:t>
      </w:r>
    </w:p>
    <w:p>
      <w:pPr>
        <w:pStyle w:val="ListBullet"/>
      </w:pPr>
      <w:r>
        <w:t>RESOLUCIÓN  N° 247-2026-ATU/PE (AUTORIDAD DE TRANSPORTE URBANO PARA LIMA Y CALLAO): Designan Ejecutivo de la Unidad de Atención a la Ciudadanía y Gestión Documental de la ATU</w:t>
      </w:r>
    </w:p>
    <w:p>
      <w:pPr>
        <w:pStyle w:val="Heading1"/>
      </w:pPr>
      <w:r>
        <w:t>2. ATU y transporte urbano (1)</w:t>
      </w:r>
    </w:p>
    <w:tbl>
      <w:tblPr>
        <w:tblStyle w:val="TableGrid"/>
        <w:tblW w:type="auto" w:w="0"/>
        <w:tblLook w:firstColumn="1" w:firstRow="1" w:lastColumn="0" w:lastRow="0" w:noHBand="0" w:noVBand="1" w:val="04A0"/>
      </w:tblPr>
      <w:tblGrid>
        <w:gridCol w:w="2493"/>
        <w:gridCol w:w="2493"/>
        <w:gridCol w:w="2493"/>
        <w:gridCol w:w="2493"/>
      </w:tblGrid>
      <w:tr>
        <w:tc>
          <w:tcPr>
            <w:tcW w:type="dxa" w:w="1247"/>
            <w:shd w:val="clear" w:color="auto" w:fill="1F4E79"/>
          </w:tcPr>
          <w:p>
            <w:r>
              <w:rPr>
                <w:b/>
                <w:color w:val="FFFFFF"/>
                <w:sz w:val="18"/>
              </w:rPr>
              <w:t>Fecha</w:t>
            </w:r>
          </w:p>
        </w:tc>
        <w:tc>
          <w:tcPr>
            <w:tcW w:type="dxa" w:w="1984"/>
            <w:shd w:val="clear" w:color="auto" w:fill="1F4E79"/>
          </w:tcPr>
          <w:p>
            <w:r>
              <w:rPr>
                <w:b/>
                <w:color w:val="FFFFFF"/>
                <w:sz w:val="18"/>
              </w:rPr>
              <w:t>Entidad</w:t>
            </w:r>
          </w:p>
        </w:tc>
        <w:tc>
          <w:tcPr>
            <w:tcW w:type="dxa" w:w="2268"/>
            <w:shd w:val="clear" w:color="auto" w:fill="1F4E79"/>
          </w:tcPr>
          <w:p>
            <w:r>
              <w:rPr>
                <w:b/>
                <w:color w:val="FFFFFF"/>
                <w:sz w:val="18"/>
              </w:rPr>
              <w:t>Norma</w:t>
            </w:r>
          </w:p>
        </w:tc>
        <w:tc>
          <w:tcPr>
            <w:tcW w:type="dxa" w:w="4139"/>
            <w:shd w:val="clear" w:color="auto" w:fill="1F4E79"/>
          </w:tcPr>
          <w:p>
            <w:r>
              <w:rPr>
                <w:b/>
                <w:color w:val="FFFFFF"/>
                <w:sz w:val="18"/>
              </w:rPr>
              <w:t>Sumilla</w:t>
            </w:r>
          </w:p>
        </w:tc>
      </w:tr>
      <w:tr>
        <w:tc>
          <w:tcPr>
            <w:tcW w:type="dxa" w:w="1247"/>
          </w:tcPr>
          <w:p>
            <w:r>
              <w:rPr>
                <w:sz w:val="18"/>
              </w:rPr>
              <w:t>26/10/2026</w:t>
            </w:r>
          </w:p>
        </w:tc>
        <w:tc>
          <w:tcPr>
            <w:tcW w:type="dxa" w:w="1984"/>
          </w:tcPr>
          <w:p>
            <w:r>
              <w:rPr>
                <w:sz w:val="18"/>
              </w:rPr>
              <w:t>AUTORIDAD DE TRANSPORTE URBANO PARA LIMA Y CALLAO</w:t>
            </w:r>
          </w:p>
        </w:tc>
        <w:tc>
          <w:tcPr>
            <w:tcW w:type="dxa" w:w="2268"/>
          </w:tcPr>
          <w:p>
            <w:r>
              <w:rPr>
                <w:sz w:val="18"/>
              </w:rPr>
            </w:r>
            <w:hyperlink r:id="rId9">
              <w:r>
                <w:rPr>
                  <w:color w:val="0563C1"/>
                  <w:u w:val="single"/>
                </w:rPr>
                <w:t>RESOLUCIÓN  N° 247-2026-ATU/PE</w:t>
              </w:r>
            </w:hyperlink>
          </w:p>
        </w:tc>
        <w:tc>
          <w:tcPr>
            <w:tcW w:type="dxa" w:w="4139"/>
          </w:tcPr>
          <w:p>
            <w:r>
              <w:rPr>
                <w:sz w:val="18"/>
              </w:rPr>
              <w:t>Designan Ejecutivo de la Unidad de Atención a la Ciudadanía y Gestión Documental de la ATU</w:t>
            </w:r>
          </w:p>
        </w:tc>
      </w:tr>
    </w:tbl>
    <w:p/>
    <w:p>
      <w:pPr>
        <w:pStyle w:val="Heading3"/>
      </w:pPr>
      <w:r>
        <w:t>RESOLUCIÓN  N° 247-2026-ATU/PE</w:t>
      </w:r>
    </w:p>
    <w:p>
      <w:r>
        <w:rPr>
          <w:b/>
        </w:rPr>
        <w:t xml:space="preserve">Entidad: </w:t>
      </w:r>
      <w:r>
        <w:t xml:space="preserve">AUTORIDAD DE TRANSPORTE URBANO PARA LIMA Y CALLAO   </w:t>
      </w:r>
      <w:r>
        <w:rPr>
          <w:b/>
        </w:rPr>
        <w:t xml:space="preserve">Fecha: </w:t>
      </w:r>
      <w:r>
        <w:t>26/10/2026</w:t>
      </w:r>
    </w:p>
    <w:p>
      <w:r>
        <w:rPr>
          <w:b/>
        </w:rPr>
        <w:t xml:space="preserve">Temas: </w:t>
      </w:r>
      <w:r>
        <w:t>ATU y transporte urbano</w:t>
      </w:r>
    </w:p>
    <w:p>
      <w:r>
        <w:rPr>
          <w:b/>
        </w:rPr>
        <w:t xml:space="preserve">Sumilla: </w:t>
      </w:r>
      <w:r>
        <w:t>Designan Ejecutivo de la Unidad de Atención a la Ciudadanía y Gestión Documental de la ATU</w:t>
      </w:r>
    </w:p>
    <w:p>
      <w:hyperlink r:id="rId9">
        <w:r>
          <w:rPr>
            <w:color w:val="0563C1"/>
            <w:u w:val="single"/>
          </w:rPr>
          <w:t>Ver texto completo</w:t>
        </w:r>
      </w:hyperlink>
      <w:r>
        <w:t xml:space="preserve">   </w:t>
      </w:r>
      <w:hyperlink r:id="rId10">
        <w:r>
          <w:rPr>
            <w:color w:val="0563C1"/>
            <w:u w:val="single"/>
          </w:rPr>
          <w:t>Ver en El Peruano</w:t>
        </w:r>
      </w:hyperlink>
      <w:r>
        <w:t xml:space="preserve">   </w:t>
      </w:r>
      <w:hyperlink r:id="rId11">
        <w:r>
          <w:rPr>
            <w:color w:val="0563C1"/>
            <w:u w:val="single"/>
          </w:rPr>
          <w:t>PDF</w:t>
        </w:r>
      </w:hyperlink>
    </w:p>
    <w:p>
      <w:pPr>
        <w:pStyle w:val="Heading1"/>
      </w:pPr>
      <w:r>
        <w:t>3. Normatividad presupuestal (1)</w:t>
      </w:r>
    </w:p>
    <w:tbl>
      <w:tblPr>
        <w:tblStyle w:val="TableGrid"/>
        <w:tblW w:type="auto" w:w="0"/>
        <w:tblLook w:firstColumn="1" w:firstRow="1" w:lastColumn="0" w:lastRow="0" w:noHBand="0" w:noVBand="1" w:val="04A0"/>
      </w:tblPr>
      <w:tblGrid>
        <w:gridCol w:w="2493"/>
        <w:gridCol w:w="2493"/>
        <w:gridCol w:w="2493"/>
        <w:gridCol w:w="2493"/>
      </w:tblGrid>
      <w:tr>
        <w:tc>
          <w:tcPr>
            <w:tcW w:type="dxa" w:w="1247"/>
            <w:shd w:val="clear" w:color="auto" w:fill="1F4E79"/>
          </w:tcPr>
          <w:p>
            <w:r>
              <w:rPr>
                <w:b/>
                <w:color w:val="FFFFFF"/>
                <w:sz w:val="18"/>
              </w:rPr>
              <w:t>Fecha</w:t>
            </w:r>
          </w:p>
        </w:tc>
        <w:tc>
          <w:tcPr>
            <w:tcW w:type="dxa" w:w="1984"/>
            <w:shd w:val="clear" w:color="auto" w:fill="1F4E79"/>
          </w:tcPr>
          <w:p>
            <w:r>
              <w:rPr>
                <w:b/>
                <w:color w:val="FFFFFF"/>
                <w:sz w:val="18"/>
              </w:rPr>
              <w:t>Entidad</w:t>
            </w:r>
          </w:p>
        </w:tc>
        <w:tc>
          <w:tcPr>
            <w:tcW w:type="dxa" w:w="2268"/>
            <w:shd w:val="clear" w:color="auto" w:fill="1F4E79"/>
          </w:tcPr>
          <w:p>
            <w:r>
              <w:rPr>
                <w:b/>
                <w:color w:val="FFFFFF"/>
                <w:sz w:val="18"/>
              </w:rPr>
              <w:t>Norma</w:t>
            </w:r>
          </w:p>
        </w:tc>
        <w:tc>
          <w:tcPr>
            <w:tcW w:type="dxa" w:w="4139"/>
            <w:shd w:val="clear" w:color="auto" w:fill="1F4E79"/>
          </w:tcPr>
          <w:p>
            <w:r>
              <w:rPr>
                <w:b/>
                <w:color w:val="FFFFFF"/>
                <w:sz w:val="18"/>
              </w:rPr>
              <w:t>Sumilla</w:t>
            </w:r>
          </w:p>
        </w:tc>
      </w:tr>
      <w:tr>
        <w:tc>
          <w:tcPr>
            <w:tcW w:type="dxa" w:w="1247"/>
          </w:tcPr>
          <w:p>
            <w:r>
              <w:rPr>
                <w:sz w:val="18"/>
              </w:rPr>
              <w:t>25/10/2026 (Ext.)</w:t>
            </w:r>
          </w:p>
        </w:tc>
        <w:tc>
          <w:tcPr>
            <w:tcW w:type="dxa" w:w="1984"/>
          </w:tcPr>
          <w:p>
            <w:r>
              <w:rPr>
                <w:sz w:val="18"/>
              </w:rPr>
              <w:t>SEGURO INTEGRAL DE SALUD</w:t>
            </w:r>
          </w:p>
        </w:tc>
        <w:tc>
          <w:tcPr>
            <w:tcW w:type="dxa" w:w="2268"/>
          </w:tcPr>
          <w:p>
            <w:r>
              <w:rPr>
                <w:sz w:val="18"/>
              </w:rPr>
            </w:r>
            <w:hyperlink r:id="rId12">
              <w:r>
                <w:rPr>
                  <w:color w:val="0563C1"/>
                  <w:u w:val="single"/>
                </w:rPr>
                <w:t>RESOLUCIÓN JEFATURAL N° 000166-2026-SIS/J</w:t>
              </w:r>
            </w:hyperlink>
          </w:p>
        </w:tc>
        <w:tc>
          <w:tcPr>
            <w:tcW w:type="dxa" w:w="4139"/>
          </w:tcPr>
          <w:p>
            <w:r>
              <w:rPr>
                <w:sz w:val="18"/>
              </w:rPr>
              <w:t>Aprueban Transferencia Financiera a favor de unidades ejecutoras para financiar prestaciones de salud y administrativas vinculadas a traslados de emergencia</w:t>
            </w:r>
          </w:p>
        </w:tc>
      </w:tr>
    </w:tbl>
    <w:p/>
    <w:p>
      <w:pPr>
        <w:pStyle w:val="Heading3"/>
      </w:pPr>
      <w:r>
        <w:t>RESOLUCIÓN JEFATURAL N° 000166-2026-SIS/J</w:t>
      </w:r>
    </w:p>
    <w:p>
      <w:r>
        <w:rPr>
          <w:b/>
        </w:rPr>
        <w:t xml:space="preserve">Entidad: </w:t>
      </w:r>
      <w:r>
        <w:t xml:space="preserve">SEGURO INTEGRAL DE SALUD   </w:t>
      </w:r>
      <w:r>
        <w:rPr>
          <w:b/>
        </w:rPr>
        <w:t xml:space="preserve">Fecha: </w:t>
      </w:r>
      <w:r>
        <w:t>25/10/2026  (Edición Extraordinaria)</w:t>
      </w:r>
    </w:p>
    <w:p>
      <w:r>
        <w:rPr>
          <w:b/>
        </w:rPr>
        <w:t xml:space="preserve">Temas: </w:t>
      </w:r>
      <w:r>
        <w:t>Normatividad presupuestal</w:t>
      </w:r>
    </w:p>
    <w:p>
      <w:r>
        <w:rPr>
          <w:b/>
        </w:rPr>
        <w:t xml:space="preserve">Sumilla: </w:t>
      </w:r>
      <w:r>
        <w:t>Aprueban Transferencia Financiera a favor de unidades ejecutoras para financiar prestaciones de salud y administrativas vinculadas a traslados de emergencia</w:t>
      </w:r>
    </w:p>
    <w:p>
      <w:r>
        <w:rPr>
          <w:b/>
        </w:rPr>
        <w:t xml:space="preserve">Dispone: </w:t>
      </w:r>
      <w:r>
        <w:t>Artículo 1.- Aprobar la Transferencia Financiera de la Unidad Ejecutora 001-1091 Seguro Integral de Salud - SIS hasta por la suma de S/ 11,061,013.00 (ONCE MILLONES SESENTA Y UN MIL TRECE CON 00/100 SOLES), con cargo a las Fuentes de Financiamiento: Recursos Ordinarios y Recursos Directamente Recaudados, a favor de las unidades ejecutoras descritas en el Anexo N° 01 “Pliego 135 - Seguro Integral de Salud - Unidad Ejecutora 001 - 1091 Seguro Integral de Salud - Transferencia Financiera - Recursos Ordinarios - Recursos Directamente Recaudados - Octubre 2026” adjunto a la presente resolución, para financiar las prestaciones de salud y administrativas vinculadas a traslados de emergencia, en…</w:t>
      </w:r>
    </w:p>
    <w:p>
      <w:r>
        <w:rPr>
          <w:b/>
        </w:rPr>
        <w:t xml:space="preserve">Montos citados: </w:t>
      </w:r>
      <w:r>
        <w:t>S/ 2, S/ 11,061,013.00, S/11,061,013.00</w:t>
      </w:r>
    </w:p>
    <w:p>
      <w:hyperlink r:id="rId12">
        <w:r>
          <w:rPr>
            <w:color w:val="0563C1"/>
            <w:u w:val="single"/>
          </w:rPr>
          <w:t>Ver texto completo</w:t>
        </w:r>
      </w:hyperlink>
      <w:r>
        <w:t xml:space="preserve">   </w:t>
      </w:r>
      <w:hyperlink r:id="rId13">
        <w:r>
          <w:rPr>
            <w:color w:val="0563C1"/>
            <w:u w:val="single"/>
          </w:rPr>
          <w:t>Ver en El Peruano</w:t>
        </w:r>
      </w:hyperlink>
      <w:r>
        <w:t xml:space="preserve">   </w:t>
      </w:r>
      <w:hyperlink r:id="rId14">
        <w:r>
          <w:rPr>
            <w:color w:val="0563C1"/>
            <w:u w:val="single"/>
          </w:rPr>
          <w:t>PDF</w:t>
        </w:r>
      </w:hyperlink>
    </w:p>
    <w:p>
      <w:pPr>
        <w:pStyle w:val="Heading1"/>
      </w:pPr>
      <w:r>
        <w:t>4. Inversiones (1)</w:t>
      </w:r>
    </w:p>
    <w:tbl>
      <w:tblPr>
        <w:tblStyle w:val="TableGrid"/>
        <w:tblW w:type="auto" w:w="0"/>
        <w:tblLook w:firstColumn="1" w:firstRow="1" w:lastColumn="0" w:lastRow="0" w:noHBand="0" w:noVBand="1" w:val="04A0"/>
      </w:tblPr>
      <w:tblGrid>
        <w:gridCol w:w="2493"/>
        <w:gridCol w:w="2493"/>
        <w:gridCol w:w="2493"/>
        <w:gridCol w:w="2493"/>
      </w:tblGrid>
      <w:tr>
        <w:tc>
          <w:tcPr>
            <w:tcW w:type="dxa" w:w="1247"/>
            <w:shd w:val="clear" w:color="auto" w:fill="1F4E79"/>
          </w:tcPr>
          <w:p>
            <w:r>
              <w:rPr>
                <w:b/>
                <w:color w:val="FFFFFF"/>
                <w:sz w:val="18"/>
              </w:rPr>
              <w:t>Fecha</w:t>
            </w:r>
          </w:p>
        </w:tc>
        <w:tc>
          <w:tcPr>
            <w:tcW w:type="dxa" w:w="1984"/>
            <w:shd w:val="clear" w:color="auto" w:fill="1F4E79"/>
          </w:tcPr>
          <w:p>
            <w:r>
              <w:rPr>
                <w:b/>
                <w:color w:val="FFFFFF"/>
                <w:sz w:val="18"/>
              </w:rPr>
              <w:t>Entidad</w:t>
            </w:r>
          </w:p>
        </w:tc>
        <w:tc>
          <w:tcPr>
            <w:tcW w:type="dxa" w:w="2268"/>
            <w:shd w:val="clear" w:color="auto" w:fill="1F4E79"/>
          </w:tcPr>
          <w:p>
            <w:r>
              <w:rPr>
                <w:b/>
                <w:color w:val="FFFFFF"/>
                <w:sz w:val="18"/>
              </w:rPr>
              <w:t>Norma</w:t>
            </w:r>
          </w:p>
        </w:tc>
        <w:tc>
          <w:tcPr>
            <w:tcW w:type="dxa" w:w="4139"/>
            <w:shd w:val="clear" w:color="auto" w:fill="1F4E79"/>
          </w:tcPr>
          <w:p>
            <w:r>
              <w:rPr>
                <w:b/>
                <w:color w:val="FFFFFF"/>
                <w:sz w:val="18"/>
              </w:rPr>
              <w:t>Sumilla</w:t>
            </w:r>
          </w:p>
        </w:tc>
      </w:tr>
      <w:tr>
        <w:tc>
          <w:tcPr>
            <w:tcW w:type="dxa" w:w="1247"/>
          </w:tcPr>
          <w:p>
            <w:r>
              <w:rPr>
                <w:sz w:val="18"/>
              </w:rPr>
              <w:t>26/10/2026</w:t>
            </w:r>
          </w:p>
        </w:tc>
        <w:tc>
          <w:tcPr>
            <w:tcW w:type="dxa" w:w="1984"/>
          </w:tcPr>
          <w:p>
            <w:r>
              <w:rPr>
                <w:sz w:val="18"/>
              </w:rPr>
              <w:t>TRANSPORTES Y COMUNICACIONES</w:t>
            </w:r>
          </w:p>
        </w:tc>
        <w:tc>
          <w:tcPr>
            <w:tcW w:type="dxa" w:w="2268"/>
          </w:tcPr>
          <w:p>
            <w:r>
              <w:rPr>
                <w:sz w:val="18"/>
              </w:rPr>
            </w:r>
            <w:hyperlink r:id="rId15">
              <w:r>
                <w:rPr>
                  <w:color w:val="0563C1"/>
                  <w:u w:val="single"/>
                </w:rPr>
                <w:t>RESOLUCIÓN MINISTERIAL  N° 607-2026-MTC/01.03</w:t>
              </w:r>
            </w:hyperlink>
          </w:p>
        </w:tc>
        <w:tc>
          <w:tcPr>
            <w:tcW w:type="dxa" w:w="4139"/>
          </w:tcPr>
          <w:p>
            <w:r>
              <w:rPr>
                <w:sz w:val="18"/>
              </w:rPr>
              <w:t>Otorgan a la empresa INVERSIONES Y SERVICIOS GENERALES ORAMITEL S.A.C. Concesión Única para la prestación de servicios públicos de telecomunicaciones en área que comprende todo el territorio de la República</w:t>
            </w:r>
          </w:p>
        </w:tc>
      </w:tr>
    </w:tbl>
    <w:p/>
    <w:p>
      <w:pPr>
        <w:pStyle w:val="Heading3"/>
      </w:pPr>
      <w:r>
        <w:t>RESOLUCIÓN MINISTERIAL  N° 607-2026-MTC/01.03</w:t>
      </w:r>
    </w:p>
    <w:p>
      <w:r>
        <w:rPr>
          <w:b/>
        </w:rPr>
        <w:t xml:space="preserve">Entidad: </w:t>
      </w:r>
      <w:r>
        <w:t xml:space="preserve">TRANSPORTES Y COMUNICACIONES   </w:t>
      </w:r>
      <w:r>
        <w:rPr>
          <w:b/>
        </w:rPr>
        <w:t xml:space="preserve">Fecha: </w:t>
      </w:r>
      <w:r>
        <w:t>26/10/2026</w:t>
      </w:r>
    </w:p>
    <w:p>
      <w:r>
        <w:rPr>
          <w:b/>
        </w:rPr>
        <w:t xml:space="preserve">Temas: </w:t>
      </w:r>
      <w:r>
        <w:t>Inversiones</w:t>
      </w:r>
    </w:p>
    <w:p>
      <w:r>
        <w:rPr>
          <w:b/>
        </w:rPr>
        <w:t xml:space="preserve">Sumilla: </w:t>
      </w:r>
      <w:r>
        <w:t>Otorgan a la empresa INVERSIONES Y SERVICIOS GENERALES ORAMITEL S.A.C. Concesión Única para la prestación de servicios públicos de telecomunicaciones en área que comprende todo el territorio de la República</w:t>
      </w:r>
    </w:p>
    <w:p>
      <w:r>
        <w:rPr>
          <w:b/>
        </w:rPr>
        <w:t xml:space="preserve">Dispone: </w:t>
      </w:r>
      <w:r>
        <w:t>Artículo 1.- Otorgar a la empresa INVERSIONES Y SERVICIOS GENERALES ORAMITEL S.A.C. Concesión Única para la prestación de los servicios públicos de telecomunicaciones por el plazo de veinte (20) años, en el área que comprende todo el territorio de la República del Perú, estableciéndose que los servicios a prestar inicialmente serán el servicio portador local, en la modalidad conmutado y el servicio público de distribución de radiodifusión por cable, en la modalidad de cable alámbrico u óptico. Artículo 2.- Aprobar el Contrato de Concesión Única a celebrarse con la empresa INVERSIONES Y SERVICIOS GENERALES ORAMITEL S.A.C. para la prestación de los servicios públicos de telecomunicaciones, el…</w:t>
      </w:r>
    </w:p>
    <w:p>
      <w:hyperlink r:id="rId15">
        <w:r>
          <w:rPr>
            <w:color w:val="0563C1"/>
            <w:u w:val="single"/>
          </w:rPr>
          <w:t>Ver texto completo</w:t>
        </w:r>
      </w:hyperlink>
      <w:r>
        <w:t xml:space="preserve">   </w:t>
      </w:r>
      <w:hyperlink r:id="rId16">
        <w:r>
          <w:rPr>
            <w:color w:val="0563C1"/>
            <w:u w:val="single"/>
          </w:rPr>
          <w:t>Ver en El Peruano</w:t>
        </w:r>
      </w:hyperlink>
      <w:r>
        <w:t xml:space="preserve">   </w:t>
      </w:r>
      <w:hyperlink r:id="rId17">
        <w:r>
          <w:rPr>
            <w:color w:val="0563C1"/>
            <w:u w:val="single"/>
          </w:rPr>
          <w:t>PDF</w:t>
        </w:r>
      </w:hyperlink>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usquedas.elperuano.pe/api/visor_html/2566976-1" TargetMode="External"/><Relationship Id="rId10" Type="http://schemas.openxmlformats.org/officeDocument/2006/relationships/hyperlink" Target="https://busquedas.elperuano.pe/dispositivo/NL/2566976-1" TargetMode="External"/><Relationship Id="rId11" Type="http://schemas.openxmlformats.org/officeDocument/2006/relationships/hyperlink" Target="https://busquedas.elperuano.pe/dispositivo/NL/2566976-1/pdf" TargetMode="External"/><Relationship Id="rId12" Type="http://schemas.openxmlformats.org/officeDocument/2006/relationships/hyperlink" Target="https://busquedas.elperuano.pe/api/visor_html/2568160-1" TargetMode="External"/><Relationship Id="rId13" Type="http://schemas.openxmlformats.org/officeDocument/2006/relationships/hyperlink" Target="https://busquedas.elperuano.pe/dispositivo/EX/2568160-1" TargetMode="External"/><Relationship Id="rId14" Type="http://schemas.openxmlformats.org/officeDocument/2006/relationships/hyperlink" Target="https://busquedas.elperuano.pe/dispositivo/EX/2568160-1/pdf" TargetMode="External"/><Relationship Id="rId15" Type="http://schemas.openxmlformats.org/officeDocument/2006/relationships/hyperlink" Target="https://busquedas.elperuano.pe/api/visor_html/2568162-1" TargetMode="External"/><Relationship Id="rId16" Type="http://schemas.openxmlformats.org/officeDocument/2006/relationships/hyperlink" Target="https://busquedas.elperuano.pe/dispositivo/NL/2568162-1" TargetMode="External"/><Relationship Id="rId17" Type="http://schemas.openxmlformats.org/officeDocument/2006/relationships/hyperlink" Target="https://busquedas.elperuano.pe/dispositivo/NL/2568162-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