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t xml:space="preserve">CHAPTER IV</w:t>
      </w:r>
    </w:p>
    <w:p>
      <w:pPr>
        <w:pStyle w:val="Heading2"/>
        <w:spacing w:after="120" w:before="180"/>
        <w:jc w:val="center"/>
      </w:pPr>
      <w:r>
        <w:t xml:space="preserve">SYSTEM DESIGN, IMPLEMENTATION, AND EVALUATION RESULTS</w:t>
      </w:r>
    </w:p>
    <w:p>
      <w:pPr>
        <w:spacing w:after="120" w:line="360"/>
      </w:pPr>
      <w:r>
        <w:rPr>
          <w:i w:val="false"/>
          <w:iCs w:val="false"/>
          <w:sz w:val="24"/>
          <w:szCs w:val="24"/>
        </w:rPr>
        <w:t xml:space="preserve"/>
      </w:r>
    </w:p>
    <w:p>
      <w:pPr>
        <w:pStyle w:val="Heading3"/>
        <w:spacing w:after="80" w:before="200"/>
      </w:pPr>
      <w:r>
        <w:t xml:space="preserve">1. SYSTEM DESIGN AND ARCHITECTURE</w:t>
      </w:r>
    </w:p>
    <w:p>
      <w:pPr>
        <w:spacing w:after="120" w:line="360"/>
      </w:pPr>
      <w:r>
        <w:rPr>
          <w:i w:val="false"/>
          <w:iCs w:val="false"/>
          <w:sz w:val="24"/>
          <w:szCs w:val="24"/>
        </w:rPr>
        <w:t xml:space="preserve">The System Design and Architecture section presents the technical structure of LibraLink: A Centralized Web-Based Library Management System for Book Resource Sharing across Selected Schools in Pampanga. It demonstrates how the functional and operational requirements identified in Chapter III are translated into a secure, scalable, maintainable, and robust software system connecting Guagua National College (GNC) and Santa Rita College (SRC).</w:t>
      </w:r>
    </w:p>
    <w:p>
      <w:pPr>
        <w:spacing w:after="60" w:before="140"/>
      </w:pPr>
      <w:r>
        <w:rPr>
          <w:b/>
          <w:bCs/>
          <w:sz w:val="24"/>
          <w:szCs w:val="24"/>
        </w:rPr>
        <w:t xml:space="preserve">a. System Architecture</w:t>
      </w:r>
    </w:p>
    <w:p>
      <w:pPr>
        <w:spacing w:after="120" w:line="360"/>
      </w:pPr>
      <w:r>
        <w:rPr>
          <w:i w:val="false"/>
          <w:iCs w:val="false"/>
          <w:sz w:val="24"/>
          <w:szCs w:val="24"/>
        </w:rPr>
        <w:t xml:space="preserve">The System Architecture of LibraLink presents the holistic structural design, component relationships, data flow protocols, and infrastructure tiers connecting the libraries of Guagua National College (GNC) and Santa Rita College (SRC).</w:t>
      </w:r>
    </w:p>
    <w:p>
      <w:pPr>
        <w:spacing w:after="120" w:line="360"/>
      </w:pPr>
      <w:r>
        <w:rPr>
          <w:i/>
          <w:iCs/>
          <w:sz w:val="24"/>
          <w:szCs w:val="24"/>
        </w:rPr>
        <w:t xml:space="preserve">1. Overall System Architecture Diagram</w:t>
      </w:r>
    </w:p>
    <w:p>
      <w:pPr>
        <w:spacing w:after="120" w:line="360"/>
      </w:pPr>
      <w:r>
        <w:rPr>
          <w:i w:val="false"/>
          <w:iCs w:val="false"/>
          <w:sz w:val="24"/>
          <w:szCs w:val="24"/>
        </w:rPr>
        <w:t xml:space="preserve">LibraLink is architected as a centralized, multi-tier client-server system. The presentation tier (ReactJS 19, Vite, Tailwind CSS) communicates with the application service tier (Node.js and Express.js) via HTTPS and authenticated RESTful APIs. Data persistence is managed centrally by Supabase and PostgreSQL, which isolates institutional data records using PostgreSQL Row-Level Security (RLS) policies.</w:t>
      </w:r>
    </w:p>
    <w:p>
      <w:pPr>
        <w:spacing w:after="120" w:line="360"/>
      </w:pPr>
      <w:r>
        <w:rPr>
          <w:i/>
          <w:iCs/>
          <w:sz w:val="24"/>
          <w:szCs w:val="24"/>
        </w:rPr>
        <w:t xml:space="preserve">2. Description of the Major System Components</w:t>
      </w:r>
    </w:p>
    <w:p>
      <w:pPr>
        <w:spacing w:after="120" w:line="360"/>
      </w:pPr>
      <w:r>
        <w:rPr>
          <w:i w:val="false"/>
          <w:iCs w:val="false"/>
          <w:sz w:val="24"/>
          <w:szCs w:val="24"/>
        </w:rPr>
        <w:t xml:space="preserve">The architecture is partitioned into three decoupled primary tiers: (a) The Presentation Tier (Client Frontend), which directly handles user interactions, catalog filtering, mobile token presentation, and administrative approvals; (b) The Application Service Tier (Middleware &amp; REST Engine), which acts as the central transaction authority validating inputs, evaluating institutional lending agreements, and generating cryptographic passes; and (c) The Data Persistence Tier (Cloud Database), which houses relational models and enforces data privacy.</w:t>
      </w:r>
    </w:p>
    <w:p>
      <w:pPr>
        <w:spacing w:after="120" w:line="360"/>
      </w:pPr>
      <w:r>
        <w:rPr>
          <w:i/>
          <w:iCs/>
          <w:sz w:val="24"/>
          <w:szCs w:val="24"/>
        </w:rPr>
        <w:t xml:space="preserve">3. Client-Side or Presentation Layer</w:t>
      </w:r>
    </w:p>
    <w:p>
      <w:pPr>
        <w:spacing w:after="120" w:line="360"/>
      </w:pPr>
      <w:r>
        <w:rPr>
          <w:i w:val="false"/>
          <w:iCs w:val="false"/>
          <w:sz w:val="24"/>
          <w:szCs w:val="24"/>
        </w:rPr>
        <w:t xml:space="preserve">The presentation layer is developed as a reactive Single Page Application (SPA) using ReactJS (v19) and Vite, styled with Tailwind CSS. It dynamically adapts across three primary user viewports: Desktop (multi-column cataloging and admin oversight), Tablet (touch-optimized library circulation counter check-in), and Smartphone (clean mobile-first search and barcode/token display screen for visiting students).</w:t>
      </w:r>
    </w:p>
    <w:p>
      <w:pPr>
        <w:spacing w:after="120" w:line="360"/>
      </w:pPr>
      <w:r>
        <w:rPr>
          <w:i/>
          <w:iCs/>
          <w:sz w:val="24"/>
          <w:szCs w:val="24"/>
        </w:rPr>
        <w:t xml:space="preserve">4. Application or Business Logic Layer</w:t>
      </w:r>
    </w:p>
    <w:p>
      <w:pPr>
        <w:spacing w:after="120" w:line="360"/>
      </w:pPr>
      <w:r>
        <w:rPr>
          <w:i w:val="false"/>
          <w:iCs w:val="false"/>
          <w:sz w:val="24"/>
          <w:szCs w:val="24"/>
        </w:rPr>
        <w:t xml:space="preserve">Built on Node.js with Express.js, the business logic layer serves as the core rule enforcer of the consortium. Key services include the Borrow Request State Machine (Pending_Home_Approval → Approved → Active_Token_Issued → Redeemed → Returned), the Inter-Library Policy Guard, and the Access Token Generation Engine that produces cryptographically secure alphanumeric access codes bound to student IDs and expiration timestamps.</w:t>
      </w:r>
    </w:p>
    <w:p>
      <w:pPr>
        <w:spacing w:after="120" w:line="360"/>
      </w:pPr>
      <w:r>
        <w:rPr>
          <w:i/>
          <w:iCs/>
          <w:sz w:val="24"/>
          <w:szCs w:val="24"/>
        </w:rPr>
        <w:t xml:space="preserve">5. Data or Database Layer</w:t>
      </w:r>
    </w:p>
    <w:p>
      <w:pPr>
        <w:spacing w:after="120" w:line="360"/>
      </w:pPr>
      <w:r>
        <w:rPr>
          <w:i w:val="false"/>
          <w:iCs w:val="false"/>
          <w:sz w:val="24"/>
          <w:szCs w:val="24"/>
        </w:rPr>
        <w:t xml:space="preserve">The data tier is deployed on Supabase / PostgreSQL, providing enterprise-grade ACID relational integrity. The database enforces Row-Level Security (RLS), ensuring that library personnel from GNC cannot inadvertently modify or delete catalog records owned by SRC. Automated point-in-time recovery and connection pooling ensure continuous uptime and protection against data loss.</w:t>
      </w:r>
    </w:p>
    <w:p>
      <w:pPr>
        <w:spacing w:after="120" w:line="360"/>
      </w:pPr>
      <w:r>
        <w:rPr>
          <w:i/>
          <w:iCs/>
          <w:sz w:val="24"/>
          <w:szCs w:val="24"/>
        </w:rPr>
        <w:t xml:space="preserve">6. API or Service Layer</w:t>
      </w:r>
    </w:p>
    <w:p>
      <w:pPr>
        <w:spacing w:after="120" w:line="360"/>
      </w:pPr>
      <w:r>
        <w:rPr>
          <w:i w:val="false"/>
          <w:iCs w:val="false"/>
          <w:sz w:val="24"/>
          <w:szCs w:val="24"/>
        </w:rPr>
        <w:t xml:space="preserve">The API layer exposes organized, RESTful HTTP endpoints that communicate exclusively via standard JSON structures. It implements standardized response wrappers, centralized error-handling middlewares, and HTTP status codes (200 OK, 201 Created, 400 Bad Request, 401 Unauthorized, 403 Forbidden, 404 Not Found, and 500 Server Error). Route handlers are modularized into /api/auth, /api/books, /api/borrow-requests, /api/tokens, and /api/schools.</w:t>
      </w:r>
    </w:p>
    <w:p>
      <w:pPr>
        <w:spacing w:after="120" w:line="360"/>
      </w:pPr>
      <w:r>
        <w:rPr>
          <w:i/>
          <w:iCs/>
          <w:sz w:val="24"/>
          <w:szCs w:val="24"/>
        </w:rPr>
        <w:t xml:space="preserve">7. External Services or Third-Party Integrations</w:t>
      </w:r>
    </w:p>
    <w:p>
      <w:pPr>
        <w:spacing w:after="120" w:line="360"/>
      </w:pPr>
      <w:r>
        <w:rPr>
          <w:i w:val="false"/>
          <w:iCs w:val="false"/>
          <w:sz w:val="24"/>
          <w:szCs w:val="24"/>
        </w:rPr>
        <w:t xml:space="preserve">LibraLink integrates specialized third-party services: (a) Supabase Cloud Persistence &amp; Auth for cloud database management and relational storage; (b) Vercel Edge Network for low-latency frontend asset delivery; (c) HTML5-QRCode and QRCode libraries for rendering and decoding visual optical tokens; and (d) Leaflet Geospatial Library for campus location visualization in Pampanga.</w:t>
      </w:r>
    </w:p>
    <w:p>
      <w:pPr>
        <w:spacing w:after="120" w:line="360"/>
      </w:pPr>
      <w:r>
        <w:rPr>
          <w:i/>
          <w:iCs/>
          <w:sz w:val="24"/>
          <w:szCs w:val="24"/>
        </w:rPr>
        <w:t xml:space="preserve">8. Authentication and Authorization Components</w:t>
      </w:r>
    </w:p>
    <w:p>
      <w:pPr>
        <w:spacing w:after="120" w:line="360"/>
      </w:pPr>
      <w:r>
        <w:rPr>
          <w:i w:val="false"/>
          <w:iCs w:val="false"/>
          <w:sz w:val="24"/>
          <w:szCs w:val="24"/>
        </w:rPr>
        <w:t xml:space="preserve">LibraLink implements Role-Based Access Control (RBAC) governing four distinct system tiers: Super Administrator (Role 1), Librarian Administrator (Role 2), Librarian Staff (Role 3), and Student (Role 4). Passwords are encrypted using secure cryptographic hashing before storage, and authenticated sessions are maintained via encrypted tokens.</w:t>
      </w:r>
    </w:p>
    <w:p>
      <w:pPr>
        <w:spacing w:after="120" w:line="360"/>
      </w:pPr>
      <w:r>
        <w:rPr>
          <w:i/>
          <w:iCs/>
          <w:sz w:val="24"/>
          <w:szCs w:val="24"/>
        </w:rPr>
        <w:t xml:space="preserve">9. Communication Between System Components</w:t>
      </w:r>
    </w:p>
    <w:p>
      <w:pPr>
        <w:spacing w:after="120" w:line="360"/>
      </w:pPr>
      <w:r>
        <w:rPr>
          <w:i w:val="false"/>
          <w:iCs w:val="false"/>
          <w:sz w:val="24"/>
          <w:szCs w:val="24"/>
        </w:rPr>
        <w:t xml:space="preserve">All communications across system tiers are conducted using encrypted HTTPS (TLS 1.3). Client-to-server data exchange utilizes asynchronous REST calls with structured JSON request and response bodies. Server-to-database communication utilizes encrypted PostgreSQL connection pooling over SSL, preventing packet interception over public networks.</w:t>
      </w:r>
    </w:p>
    <w:p>
      <w:pPr>
        <w:spacing w:after="120" w:line="360"/>
      </w:pPr>
      <w:r>
        <w:rPr>
          <w:i/>
          <w:iCs/>
          <w:sz w:val="24"/>
          <w:szCs w:val="24"/>
        </w:rPr>
        <w:t xml:space="preserve">10. Description of the Technologies Used in Each Component</w:t>
      </w:r>
    </w:p>
    <w:p>
      <w:pPr>
        <w:spacing w:after="120" w:line="360"/>
      </w:pPr>
      <w:r>
        <w:rPr>
          <w:i w:val="false"/>
          <w:iCs w:val="false"/>
          <w:sz w:val="24"/>
          <w:szCs w:val="24"/>
        </w:rPr>
        <w:t xml:space="preserve">Technologies employed include ReactJS 19 (modular reactive components), Vite (fast HMR and optimized asset bundling), Tailwind CSS (responsive utility-based styling), Node.js and Express.js (asynchronous high-concurrency REST backend), PostgreSQL and Supabase (ACID compliance and Row-Level Security), and Postman (API testing suite).</w:t>
      </w:r>
    </w:p>
    <w:p>
      <w:pPr>
        <w:spacing w:after="60" w:before="140"/>
      </w:pPr>
      <w:r>
        <w:rPr>
          <w:b/>
          <w:bCs/>
          <w:sz w:val="24"/>
          <w:szCs w:val="24"/>
        </w:rPr>
        <w:t xml:space="preserve">b. System Architecture Pattern</w:t>
      </w:r>
    </w:p>
    <w:p>
      <w:pPr>
        <w:spacing w:after="120" w:line="360"/>
      </w:pPr>
      <w:r>
        <w:rPr>
          <w:i w:val="false"/>
          <w:iCs w:val="false"/>
          <w:sz w:val="24"/>
          <w:szCs w:val="24"/>
        </w:rPr>
        <w:t xml:space="preserve">LibraLink utilizes a Three-Tier Layered Architecture combined with a RESTful Service Pattern. The Presentation Tier is decoupled from the backend and handles rendering across mobile and desktop devices. The Application Logic Tier validates user requests, verifies student good standing, and controls the state machine for inter-library borrow requests. The Data Tier provides ACID-compliant persistence and multi-tenant catalog partitioning.</w:t>
      </w:r>
    </w:p>
    <w:p>
      <w:pPr>
        <w:spacing w:after="60" w:before="140"/>
      </w:pPr>
      <w:r>
        <w:rPr>
          <w:b/>
          <w:bCs/>
          <w:sz w:val="24"/>
          <w:szCs w:val="24"/>
        </w:rPr>
        <w:t xml:space="preserve">c. System Flow Diagram</w:t>
      </w:r>
    </w:p>
    <w:p>
      <w:pPr>
        <w:spacing w:after="120" w:line="360"/>
      </w:pPr>
      <w:r>
        <w:rPr>
          <w:i w:val="false"/>
          <w:iCs w:val="false"/>
          <w:sz w:val="24"/>
          <w:szCs w:val="24"/>
        </w:rPr>
        <w:t xml:space="preserve">The operational flow governs user interactions from book discovery to physical redemption: Search → Availability Check → Partner School Holding Scan → Partner Recommendation → Inter-Library Borrow Request Submission → Home Librarian Verification → Request Approval/Rejection → Digital Library Access Token Generation → Partner School Verification &amp; Book Access.</w:t>
      </w:r>
    </w:p>
    <w:p>
      <w:pPr>
        <w:spacing w:after="60" w:before="120"/>
        <w:jc w:val="center"/>
      </w:pPr>
      <w:r>
        <w:drawing>
          <wp:inline distT="0" distB="0" distL="0" distR="0">
            <wp:extent cx="5238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571750"/>
                    </a:xfrm>
                    <a:prstGeom prst="rect">
                      <a:avLst/>
                    </a:prstGeom>
                  </pic:spPr>
                </pic:pic>
              </a:graphicData>
            </a:graphic>
          </wp:inline>
        </w:drawing>
      </w:r>
    </w:p>
    <w:p>
      <w:pPr>
        <w:spacing w:after="180" w:before="80"/>
        <w:jc w:val="center"/>
      </w:pPr>
      <w:r>
        <w:rPr>
          <w:b/>
          <w:bCs/>
          <w:i/>
          <w:iCs/>
          <w:sz w:val="22"/>
          <w:szCs w:val="22"/>
        </w:rPr>
        <w:t xml:space="preserve">Figure 4.1: LibraLink System Flow and Operational Lifecycle Diagram</w:t>
      </w:r>
    </w:p>
    <w:p>
      <w:pPr>
        <w:spacing w:after="60" w:before="140"/>
      </w:pPr>
      <w:r>
        <w:rPr>
          <w:b/>
          <w:bCs/>
          <w:sz w:val="24"/>
          <w:szCs w:val="24"/>
        </w:rPr>
        <w:t xml:space="preserve">d. Use Case Diagram and Specifications</w:t>
      </w:r>
    </w:p>
    <w:p>
      <w:pPr>
        <w:spacing w:after="120" w:line="360"/>
      </w:pPr>
      <w:r>
        <w:rPr>
          <w:i w:val="false"/>
          <w:iCs w:val="false"/>
          <w:sz w:val="24"/>
          <w:szCs w:val="24"/>
        </w:rPr>
        <w:t xml:space="preserve">The system accommodates three primary human actors: Students (College, Senior High School, Junior High School), Librarians/Library Staff, and System Administrators.</w:t>
      </w:r>
    </w:p>
    <w:p>
      <w:pPr>
        <w:spacing w:after="60" w:before="120"/>
        <w:jc w:val="center"/>
      </w:pPr>
      <w:r>
        <w:drawing>
          <wp:inline distT="0" distB="0" distL="0" distR="0">
            <wp:extent cx="5143500" cy="3048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48000"/>
                    </a:xfrm>
                    <a:prstGeom prst="rect">
                      <a:avLst/>
                    </a:prstGeom>
                  </pic:spPr>
                </pic:pic>
              </a:graphicData>
            </a:graphic>
          </wp:inline>
        </w:drawing>
      </w:r>
    </w:p>
    <w:p>
      <w:pPr>
        <w:spacing w:after="180" w:before="80"/>
        <w:jc w:val="center"/>
      </w:pPr>
      <w:r>
        <w:rPr>
          <w:b/>
          <w:bCs/>
          <w:i/>
          <w:iCs/>
          <w:sz w:val="22"/>
          <w:szCs w:val="22"/>
        </w:rPr>
        <w:t xml:space="preserve">Figure 4.2: LibraLink Actor-to-Use-Case Diagram</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200"/>
        <w:gridCol w:w="2200"/>
        <w:gridCol w:w="1800"/>
        <w:gridCol w:w="3400"/>
        <w:gridCol w:w="2200"/>
      </w:tblGrid>
      <w:tr>
        <w:tc>
          <w:tcPr>
            <w:tcW w:type="dxa" w:w="1200"/>
            <w:shd w:fill="1E293B" w:val="clear"/>
          </w:tcPr>
          <w:p>
            <w:pPr>
              <w:jc w:val="center"/>
            </w:pPr>
            <w:r>
              <w:rPr>
                <w:b/>
                <w:bCs/>
                <w:color w:val="FFFFFF"/>
                <w:sz w:val="22"/>
                <w:szCs w:val="22"/>
              </w:rPr>
              <w:t xml:space="preserve">Use Case ID</w:t>
            </w:r>
          </w:p>
        </w:tc>
        <w:tc>
          <w:tcPr>
            <w:tcW w:type="dxa" w:w="2200"/>
            <w:shd w:fill="1E293B" w:val="clear"/>
          </w:tcPr>
          <w:p>
            <w:pPr>
              <w:jc w:val="center"/>
            </w:pPr>
            <w:r>
              <w:rPr>
                <w:b/>
                <w:bCs/>
                <w:color w:val="FFFFFF"/>
                <w:sz w:val="22"/>
                <w:szCs w:val="22"/>
              </w:rPr>
              <w:t xml:space="preserve">Use Case Name</w:t>
            </w:r>
          </w:p>
        </w:tc>
        <w:tc>
          <w:tcPr>
            <w:tcW w:type="dxa" w:w="1800"/>
            <w:shd w:fill="1E293B" w:val="clear"/>
          </w:tcPr>
          <w:p>
            <w:pPr>
              <w:jc w:val="center"/>
            </w:pPr>
            <w:r>
              <w:rPr>
                <w:b/>
                <w:bCs/>
                <w:color w:val="FFFFFF"/>
                <w:sz w:val="22"/>
                <w:szCs w:val="22"/>
              </w:rPr>
              <w:t xml:space="preserve">Primary Actor</w:t>
            </w:r>
          </w:p>
        </w:tc>
        <w:tc>
          <w:tcPr>
            <w:tcW w:type="dxa" w:w="3400"/>
            <w:shd w:fill="1E293B" w:val="clear"/>
          </w:tcPr>
          <w:p>
            <w:pPr>
              <w:jc w:val="center"/>
            </w:pPr>
            <w:r>
              <w:rPr>
                <w:b/>
                <w:bCs/>
                <w:color w:val="FFFFFF"/>
                <w:sz w:val="22"/>
                <w:szCs w:val="22"/>
              </w:rPr>
              <w:t xml:space="preserve">Preconditions &amp; Main Flow</w:t>
            </w:r>
          </w:p>
        </w:tc>
        <w:tc>
          <w:tcPr>
            <w:tcW w:type="dxa" w:w="2200"/>
            <w:shd w:fill="1E293B" w:val="clear"/>
          </w:tcPr>
          <w:p>
            <w:pPr>
              <w:jc w:val="center"/>
            </w:pPr>
            <w:r>
              <w:rPr>
                <w:b/>
                <w:bCs/>
                <w:color w:val="FFFFFF"/>
                <w:sz w:val="22"/>
                <w:szCs w:val="22"/>
              </w:rPr>
              <w:t xml:space="preserve">Postconditions</w:t>
            </w:r>
          </w:p>
        </w:tc>
      </w:tr>
      <w:tr>
        <w:tc>
          <w:tcPr>
            <w:tcW w:type="dxa" w:w="1200"/>
          </w:tcPr>
          <w:p>
            <w:pPr>
              <w:jc w:val="left"/>
            </w:pPr>
            <w:r>
              <w:rPr>
                <w:sz w:val="22"/>
                <w:szCs w:val="22"/>
              </w:rPr>
              <w:t xml:space="preserve">UC-01</w:t>
            </w:r>
          </w:p>
        </w:tc>
        <w:tc>
          <w:tcPr>
            <w:tcW w:type="dxa" w:w="2200"/>
          </w:tcPr>
          <w:p>
            <w:pPr>
              <w:jc w:val="center"/>
            </w:pPr>
            <w:r>
              <w:rPr>
                <w:sz w:val="22"/>
                <w:szCs w:val="22"/>
              </w:rPr>
              <w:t xml:space="preserve">Cross-School Search</w:t>
            </w:r>
          </w:p>
        </w:tc>
        <w:tc>
          <w:tcPr>
            <w:tcW w:type="dxa" w:w="1800"/>
          </w:tcPr>
          <w:p>
            <w:pPr>
              <w:jc w:val="center"/>
            </w:pPr>
            <w:r>
              <w:rPr>
                <w:sz w:val="22"/>
                <w:szCs w:val="22"/>
              </w:rPr>
              <w:t xml:space="preserve">Student</w:t>
            </w:r>
          </w:p>
        </w:tc>
        <w:tc>
          <w:tcPr>
            <w:tcW w:type="dxa" w:w="3400"/>
          </w:tcPr>
          <w:p>
            <w:pPr>
              <w:jc w:val="center"/>
            </w:pPr>
            <w:r>
              <w:rPr>
                <w:sz w:val="22"/>
                <w:szCs w:val="22"/>
              </w:rPr>
              <w:t xml:space="preserve">Logged in; enters keyword, filters by campus (GNC/SRC)</w:t>
            </w:r>
          </w:p>
        </w:tc>
        <w:tc>
          <w:tcPr>
            <w:tcW w:type="dxa" w:w="2200"/>
          </w:tcPr>
          <w:p>
            <w:pPr>
              <w:jc w:val="center"/>
            </w:pPr>
            <w:r>
              <w:rPr>
                <w:sz w:val="22"/>
                <w:szCs w:val="22"/>
              </w:rPr>
              <w:t xml:space="preserve">Displays holdings and real-time availability</w:t>
            </w:r>
          </w:p>
        </w:tc>
      </w:tr>
      <w:tr>
        <w:tc>
          <w:tcPr>
            <w:tcW w:type="dxa" w:w="1200"/>
            <w:shd w:fill="F8FAFC" w:val="clear"/>
          </w:tcPr>
          <w:p>
            <w:pPr>
              <w:jc w:val="left"/>
            </w:pPr>
            <w:r>
              <w:rPr>
                <w:sz w:val="22"/>
                <w:szCs w:val="22"/>
              </w:rPr>
              <w:t xml:space="preserve">UC-02</w:t>
            </w:r>
          </w:p>
        </w:tc>
        <w:tc>
          <w:tcPr>
            <w:tcW w:type="dxa" w:w="2200"/>
            <w:shd w:fill="F8FAFC" w:val="clear"/>
          </w:tcPr>
          <w:p>
            <w:pPr>
              <w:jc w:val="center"/>
            </w:pPr>
            <w:r>
              <w:rPr>
                <w:sz w:val="22"/>
                <w:szCs w:val="22"/>
              </w:rPr>
              <w:t xml:space="preserve">Submit Borrow Request</w:t>
            </w:r>
          </w:p>
        </w:tc>
        <w:tc>
          <w:tcPr>
            <w:tcW w:type="dxa" w:w="1800"/>
            <w:shd w:fill="F8FAFC" w:val="clear"/>
          </w:tcPr>
          <w:p>
            <w:pPr>
              <w:jc w:val="center"/>
            </w:pPr>
            <w:r>
              <w:rPr>
                <w:sz w:val="22"/>
                <w:szCs w:val="22"/>
              </w:rPr>
              <w:t xml:space="preserve">Student</w:t>
            </w:r>
          </w:p>
        </w:tc>
        <w:tc>
          <w:tcPr>
            <w:tcW w:type="dxa" w:w="3400"/>
            <w:shd w:fill="F8FAFC" w:val="clear"/>
          </w:tcPr>
          <w:p>
            <w:pPr>
              <w:jc w:val="center"/>
            </w:pPr>
            <w:r>
              <w:rPr>
                <w:sz w:val="22"/>
                <w:szCs w:val="22"/>
              </w:rPr>
              <w:t xml:space="preserve">Book unavailable locally; submits inter-library request</w:t>
            </w:r>
          </w:p>
        </w:tc>
        <w:tc>
          <w:tcPr>
            <w:tcW w:type="dxa" w:w="2200"/>
            <w:shd w:fill="F8FAFC" w:val="clear"/>
          </w:tcPr>
          <w:p>
            <w:pPr>
              <w:jc w:val="center"/>
            </w:pPr>
            <w:r>
              <w:rPr>
                <w:sz w:val="22"/>
                <w:szCs w:val="22"/>
              </w:rPr>
              <w:t xml:space="preserve">Request logged as Pending in Home Librarian queue</w:t>
            </w:r>
          </w:p>
        </w:tc>
      </w:tr>
      <w:tr>
        <w:tc>
          <w:tcPr>
            <w:tcW w:type="dxa" w:w="1200"/>
          </w:tcPr>
          <w:p>
            <w:pPr>
              <w:jc w:val="left"/>
            </w:pPr>
            <w:r>
              <w:rPr>
                <w:sz w:val="22"/>
                <w:szCs w:val="22"/>
              </w:rPr>
              <w:t xml:space="preserve">UC-03</w:t>
            </w:r>
          </w:p>
        </w:tc>
        <w:tc>
          <w:tcPr>
            <w:tcW w:type="dxa" w:w="2200"/>
          </w:tcPr>
          <w:p>
            <w:pPr>
              <w:jc w:val="center"/>
            </w:pPr>
            <w:r>
              <w:rPr>
                <w:sz w:val="22"/>
                <w:szCs w:val="22"/>
              </w:rPr>
              <w:t xml:space="preserve">Request Review &amp; Approval</w:t>
            </w:r>
          </w:p>
        </w:tc>
        <w:tc>
          <w:tcPr>
            <w:tcW w:type="dxa" w:w="1800"/>
          </w:tcPr>
          <w:p>
            <w:pPr>
              <w:jc w:val="center"/>
            </w:pPr>
            <w:r>
              <w:rPr>
                <w:sz w:val="22"/>
                <w:szCs w:val="22"/>
              </w:rPr>
              <w:t xml:space="preserve">Librarian</w:t>
            </w:r>
          </w:p>
        </w:tc>
        <w:tc>
          <w:tcPr>
            <w:tcW w:type="dxa" w:w="3400"/>
          </w:tcPr>
          <w:p>
            <w:pPr>
              <w:jc w:val="center"/>
            </w:pPr>
            <w:r>
              <w:rPr>
                <w:sz w:val="22"/>
                <w:szCs w:val="22"/>
              </w:rPr>
              <w:t xml:space="preserve">Pending request exists; verifies student standing &amp; approves</w:t>
            </w:r>
          </w:p>
        </w:tc>
        <w:tc>
          <w:tcPr>
            <w:tcW w:type="dxa" w:w="2200"/>
          </w:tcPr>
          <w:p>
            <w:pPr>
              <w:jc w:val="center"/>
            </w:pPr>
            <w:r>
              <w:rPr>
                <w:sz w:val="22"/>
                <w:szCs w:val="22"/>
              </w:rPr>
              <w:t xml:space="preserve">Status updated to Approved; Access Token generated</w:t>
            </w:r>
          </w:p>
        </w:tc>
      </w:tr>
      <w:tr>
        <w:tc>
          <w:tcPr>
            <w:tcW w:type="dxa" w:w="1200"/>
            <w:shd w:fill="F8FAFC" w:val="clear"/>
          </w:tcPr>
          <w:p>
            <w:pPr>
              <w:jc w:val="left"/>
            </w:pPr>
            <w:r>
              <w:rPr>
                <w:sz w:val="22"/>
                <w:szCs w:val="22"/>
              </w:rPr>
              <w:t xml:space="preserve">UC-04</w:t>
            </w:r>
          </w:p>
        </w:tc>
        <w:tc>
          <w:tcPr>
            <w:tcW w:type="dxa" w:w="2200"/>
            <w:shd w:fill="F8FAFC" w:val="clear"/>
          </w:tcPr>
          <w:p>
            <w:pPr>
              <w:jc w:val="center"/>
            </w:pPr>
            <w:r>
              <w:rPr>
                <w:sz w:val="22"/>
                <w:szCs w:val="22"/>
              </w:rPr>
              <w:t xml:space="preserve">Token Verification</w:t>
            </w:r>
          </w:p>
        </w:tc>
        <w:tc>
          <w:tcPr>
            <w:tcW w:type="dxa" w:w="1800"/>
            <w:shd w:fill="F8FAFC" w:val="clear"/>
          </w:tcPr>
          <w:p>
            <w:pPr>
              <w:jc w:val="center"/>
            </w:pPr>
            <w:r>
              <w:rPr>
                <w:sz w:val="22"/>
                <w:szCs w:val="22"/>
              </w:rPr>
              <w:t xml:space="preserve">Partner Librarian</w:t>
            </w:r>
          </w:p>
        </w:tc>
        <w:tc>
          <w:tcPr>
            <w:tcW w:type="dxa" w:w="3400"/>
            <w:shd w:fill="F8FAFC" w:val="clear"/>
          </w:tcPr>
          <w:p>
            <w:pPr>
              <w:jc w:val="center"/>
            </w:pPr>
            <w:r>
              <w:rPr>
                <w:sz w:val="22"/>
                <w:szCs w:val="22"/>
              </w:rPr>
              <w:t xml:space="preserve">Visiting student presents token; librarian verifies code</w:t>
            </w:r>
          </w:p>
        </w:tc>
        <w:tc>
          <w:tcPr>
            <w:tcW w:type="dxa" w:w="2200"/>
            <w:shd w:fill="F8FAFC" w:val="clear"/>
          </w:tcPr>
          <w:p>
            <w:pPr>
              <w:jc w:val="center"/>
            </w:pPr>
            <w:r>
              <w:rPr>
                <w:sz w:val="22"/>
                <w:szCs w:val="22"/>
              </w:rPr>
              <w:t xml:space="preserve">Token redeemed; book access authorized</w:t>
            </w:r>
          </w:p>
        </w:tc>
      </w:tr>
      <w:tr>
        <w:tc>
          <w:tcPr>
            <w:tcW w:type="dxa" w:w="1200"/>
          </w:tcPr>
          <w:p>
            <w:pPr>
              <w:jc w:val="left"/>
            </w:pPr>
            <w:r>
              <w:rPr>
                <w:sz w:val="22"/>
                <w:szCs w:val="22"/>
              </w:rPr>
              <w:t xml:space="preserve">UC-05</w:t>
            </w:r>
          </w:p>
        </w:tc>
        <w:tc>
          <w:tcPr>
            <w:tcW w:type="dxa" w:w="2200"/>
          </w:tcPr>
          <w:p>
            <w:pPr>
              <w:jc w:val="center"/>
            </w:pPr>
            <w:r>
              <w:rPr>
                <w:sz w:val="22"/>
                <w:szCs w:val="22"/>
              </w:rPr>
              <w:t xml:space="preserve">Catalog Management</w:t>
            </w:r>
          </w:p>
        </w:tc>
        <w:tc>
          <w:tcPr>
            <w:tcW w:type="dxa" w:w="1800"/>
          </w:tcPr>
          <w:p>
            <w:pPr>
              <w:jc w:val="center"/>
            </w:pPr>
            <w:r>
              <w:rPr>
                <w:sz w:val="22"/>
                <w:szCs w:val="22"/>
              </w:rPr>
              <w:t xml:space="preserve">Librarian</w:t>
            </w:r>
          </w:p>
        </w:tc>
        <w:tc>
          <w:tcPr>
            <w:tcW w:type="dxa" w:w="3400"/>
          </w:tcPr>
          <w:p>
            <w:pPr>
              <w:jc w:val="center"/>
            </w:pPr>
            <w:r>
              <w:rPr>
                <w:sz w:val="22"/>
                <w:szCs w:val="22"/>
              </w:rPr>
              <w:t xml:space="preserve">Authorized staff enters ISBN, title, shelf location</w:t>
            </w:r>
          </w:p>
        </w:tc>
        <w:tc>
          <w:tcPr>
            <w:tcW w:type="dxa" w:w="2200"/>
          </w:tcPr>
          <w:p>
            <w:pPr>
              <w:jc w:val="center"/>
            </w:pPr>
            <w:r>
              <w:rPr>
                <w:sz w:val="22"/>
                <w:szCs w:val="22"/>
              </w:rPr>
              <w:t xml:space="preserve">Book record saved and instantly searchable</w:t>
            </w:r>
          </w:p>
        </w:tc>
      </w:tr>
      <w:tr>
        <w:tc>
          <w:tcPr>
            <w:tcW w:type="dxa" w:w="1200"/>
            <w:shd w:fill="F8FAFC" w:val="clear"/>
          </w:tcPr>
          <w:p>
            <w:pPr>
              <w:jc w:val="left"/>
            </w:pPr>
            <w:r>
              <w:rPr>
                <w:sz w:val="22"/>
                <w:szCs w:val="22"/>
              </w:rPr>
              <w:t xml:space="preserve">UC-06</w:t>
            </w:r>
          </w:p>
        </w:tc>
        <w:tc>
          <w:tcPr>
            <w:tcW w:type="dxa" w:w="2200"/>
            <w:shd w:fill="F8FAFC" w:val="clear"/>
          </w:tcPr>
          <w:p>
            <w:pPr>
              <w:jc w:val="center"/>
            </w:pPr>
            <w:r>
              <w:rPr>
                <w:sz w:val="22"/>
                <w:szCs w:val="22"/>
              </w:rPr>
              <w:t xml:space="preserve">School Administration</w:t>
            </w:r>
          </w:p>
        </w:tc>
        <w:tc>
          <w:tcPr>
            <w:tcW w:type="dxa" w:w="1800"/>
            <w:shd w:fill="F8FAFC" w:val="clear"/>
          </w:tcPr>
          <w:p>
            <w:pPr>
              <w:jc w:val="center"/>
            </w:pPr>
            <w:r>
              <w:rPr>
                <w:sz w:val="22"/>
                <w:szCs w:val="22"/>
              </w:rPr>
              <w:t xml:space="preserve">Super Admin</w:t>
            </w:r>
          </w:p>
        </w:tc>
        <w:tc>
          <w:tcPr>
            <w:tcW w:type="dxa" w:w="3400"/>
            <w:shd w:fill="F8FAFC" w:val="clear"/>
          </w:tcPr>
          <w:p>
            <w:pPr>
              <w:jc w:val="center"/>
            </w:pPr>
            <w:r>
              <w:rPr>
                <w:sz w:val="22"/>
                <w:szCs w:val="22"/>
              </w:rPr>
              <w:t xml:space="preserve">Super admin manages institutional settings and staff roles</w:t>
            </w:r>
          </w:p>
        </w:tc>
        <w:tc>
          <w:tcPr>
            <w:tcW w:type="dxa" w:w="2200"/>
            <w:shd w:fill="F8FAFC" w:val="clear"/>
          </w:tcPr>
          <w:p>
            <w:pPr>
              <w:jc w:val="center"/>
            </w:pPr>
            <w:r>
              <w:rPr>
                <w:sz w:val="22"/>
                <w:szCs w:val="22"/>
              </w:rPr>
              <w:t xml:space="preserve">Partner school records and user roles updated</w:t>
            </w:r>
          </w:p>
        </w:tc>
      </w:tr>
    </w:tbl>
    <w:p>
      <w:pPr>
        <w:spacing w:after="120" w:line="360"/>
      </w:pPr>
      <w:r>
        <w:rPr>
          <w:i w:val="false"/>
          <w:iCs w:val="false"/>
          <w:sz w:val="24"/>
          <w:szCs w:val="24"/>
        </w:rPr>
        <w:t xml:space="preserve"/>
      </w:r>
    </w:p>
    <w:p>
      <w:pPr>
        <w:spacing w:after="60" w:before="140"/>
      </w:pPr>
      <w:r>
        <w:rPr>
          <w:b/>
          <w:bCs/>
          <w:sz w:val="24"/>
          <w:szCs w:val="24"/>
        </w:rPr>
        <w:t xml:space="preserve">e. Data Flow Diagram (DFD)</w:t>
      </w:r>
    </w:p>
    <w:p>
      <w:pPr>
        <w:spacing w:after="120" w:line="360"/>
      </w:pPr>
      <w:r>
        <w:rPr>
          <w:i w:val="false"/>
          <w:iCs w:val="false"/>
          <w:sz w:val="24"/>
          <w:szCs w:val="24"/>
        </w:rPr>
        <w:t xml:space="preserve">The Data Flow Diagram illustrates how information enters, flows through, and exits the LibraLink ecosystem. The Context Diagram (Level 0) models the boundary of LibraLink with external entities (Students, Librarians, Administrators). Level 1 processes break down the workflow into Authentication (1.0), Catalog Discovery (2.0), Borrow Processing (3.0), and Token Verification (4.0).</w:t>
      </w:r>
    </w:p>
    <w:p>
      <w:pPr>
        <w:spacing w:after="60" w:before="120"/>
        <w:jc w:val="center"/>
      </w:pPr>
      <w:r>
        <w:drawing>
          <wp:inline distT="0" distB="0" distL="0" distR="0">
            <wp:extent cx="5143500" cy="2667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67000"/>
                    </a:xfrm>
                    <a:prstGeom prst="rect">
                      <a:avLst/>
                    </a:prstGeom>
                  </pic:spPr>
                </pic:pic>
              </a:graphicData>
            </a:graphic>
          </wp:inline>
        </w:drawing>
      </w:r>
    </w:p>
    <w:p>
      <w:pPr>
        <w:spacing w:after="180" w:before="80"/>
        <w:jc w:val="center"/>
      </w:pPr>
      <w:r>
        <w:rPr>
          <w:b/>
          <w:bCs/>
          <w:i/>
          <w:iCs/>
          <w:sz w:val="22"/>
          <w:szCs w:val="22"/>
        </w:rPr>
        <w:t xml:space="preserve">Figure 4.3: LibraLink Data Flow Context Diagram (Level 0)</w:t>
      </w:r>
    </w:p>
    <w:p>
      <w:pPr>
        <w:spacing w:after="60" w:before="140"/>
      </w:pPr>
      <w:r>
        <w:rPr>
          <w:b/>
          <w:bCs/>
          <w:sz w:val="24"/>
          <w:szCs w:val="24"/>
        </w:rPr>
        <w:t xml:space="preserve">f. Database Design</w:t>
      </w:r>
    </w:p>
    <w:p>
      <w:pPr>
        <w:spacing w:after="120" w:line="360"/>
      </w:pPr>
      <w:r>
        <w:rPr>
          <w:i w:val="false"/>
          <w:iCs w:val="false"/>
          <w:sz w:val="24"/>
          <w:szCs w:val="24"/>
        </w:rPr>
        <w:t xml:space="preserve">The database design implements a normalized relational schema within Supabase PostgreSQL. Primary entities include schools, users, books, borrow_requests, and access_tokens, reinforced with foreign key cascades and Row-Level Security (RLS) policies.</w:t>
      </w:r>
    </w:p>
    <w:p>
      <w:pPr>
        <w:spacing w:after="60" w:before="120"/>
        <w:jc w:val="center"/>
      </w:pPr>
      <w:r>
        <w:drawing>
          <wp:inline distT="0" distB="0" distL="0" distR="0">
            <wp:extent cx="5143500" cy="2762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62250"/>
                    </a:xfrm>
                    <a:prstGeom prst="rect">
                      <a:avLst/>
                    </a:prstGeom>
                  </pic:spPr>
                </pic:pic>
              </a:graphicData>
            </a:graphic>
          </wp:inline>
        </w:drawing>
      </w:r>
    </w:p>
    <w:p>
      <w:pPr>
        <w:spacing w:after="180" w:before="80"/>
        <w:jc w:val="center"/>
      </w:pPr>
      <w:r>
        <w:rPr>
          <w:b/>
          <w:bCs/>
          <w:i/>
          <w:iCs/>
          <w:sz w:val="22"/>
          <w:szCs w:val="22"/>
        </w:rPr>
        <w:t xml:space="preserve">Figure 4.4: LibraLink Entity-Relationship Diagram (ERD)</w:t>
      </w:r>
    </w:p>
    <w:p>
      <w:pPr>
        <w:spacing w:after="60" w:before="120"/>
        <w:jc w:val="center"/>
      </w:pPr>
      <w:r>
        <w:drawing>
          <wp:inline distT="0" distB="0" distL="0" distR="0">
            <wp:extent cx="51435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67000"/>
                    </a:xfrm>
                    <a:prstGeom prst="rect">
                      <a:avLst/>
                    </a:prstGeom>
                  </pic:spPr>
                </pic:pic>
              </a:graphicData>
            </a:graphic>
          </wp:inline>
        </w:drawing>
      </w:r>
    </w:p>
    <w:p>
      <w:pPr>
        <w:spacing w:after="180" w:before="80"/>
        <w:jc w:val="center"/>
      </w:pPr>
      <w:r>
        <w:rPr>
          <w:b/>
          <w:bCs/>
          <w:i/>
          <w:iCs/>
          <w:sz w:val="22"/>
          <w:szCs w:val="22"/>
        </w:rPr>
        <w:t xml:space="preserve">Figure 4.5: LibraLink Relational Database Tables and Schema Attributes</w:t>
      </w:r>
    </w:p>
    <w:p>
      <w:pPr>
        <w:spacing w:after="60" w:before="140"/>
      </w:pPr>
      <w:r>
        <w:rPr>
          <w:b/>
          <w:bCs/>
          <w:sz w:val="24"/>
          <w:szCs w:val="24"/>
        </w:rPr>
        <w:t xml:space="preserve">g. Application Programming Interface (API) Design</w:t>
      </w:r>
    </w:p>
    <w:p>
      <w:pPr>
        <w:spacing w:after="120" w:line="360"/>
      </w:pPr>
      <w:r>
        <w:rPr>
          <w:i w:val="false"/>
          <w:iCs w:val="false"/>
          <w:sz w:val="24"/>
          <w:szCs w:val="24"/>
        </w:rPr>
        <w:t xml:space="preserve">All communication between the frontend client and backend server is handled through secure REST API endpoints with structured JSON responses:</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200"/>
        <w:gridCol w:w="3000"/>
        <w:gridCol w:w="2800"/>
        <w:gridCol w:w="1600"/>
        <w:gridCol w:w="2200"/>
      </w:tblGrid>
      <w:tr>
        <w:tc>
          <w:tcPr>
            <w:tcW w:type="dxa" w:w="1200"/>
            <w:shd w:fill="1E293B" w:val="clear"/>
          </w:tcPr>
          <w:p>
            <w:pPr>
              <w:jc w:val="center"/>
            </w:pPr>
            <w:r>
              <w:rPr>
                <w:b/>
                <w:bCs/>
                <w:color w:val="FFFFFF"/>
                <w:sz w:val="22"/>
                <w:szCs w:val="22"/>
              </w:rPr>
              <w:t xml:space="preserve">Method</w:t>
            </w:r>
          </w:p>
        </w:tc>
        <w:tc>
          <w:tcPr>
            <w:tcW w:type="dxa" w:w="3000"/>
            <w:shd w:fill="1E293B" w:val="clear"/>
          </w:tcPr>
          <w:p>
            <w:pPr>
              <w:jc w:val="center"/>
            </w:pPr>
            <w:r>
              <w:rPr>
                <w:b/>
                <w:bCs/>
                <w:color w:val="FFFFFF"/>
                <w:sz w:val="22"/>
                <w:szCs w:val="22"/>
              </w:rPr>
              <w:t xml:space="preserve">Endpoint</w:t>
            </w:r>
          </w:p>
        </w:tc>
        <w:tc>
          <w:tcPr>
            <w:tcW w:type="dxa" w:w="2800"/>
            <w:shd w:fill="1E293B" w:val="clear"/>
          </w:tcPr>
          <w:p>
            <w:pPr>
              <w:jc w:val="center"/>
            </w:pPr>
            <w:r>
              <w:rPr>
                <w:b/>
                <w:bCs/>
                <w:color w:val="FFFFFF"/>
                <w:sz w:val="22"/>
                <w:szCs w:val="22"/>
              </w:rPr>
              <w:t xml:space="preserve">Purpose</w:t>
            </w:r>
          </w:p>
        </w:tc>
        <w:tc>
          <w:tcPr>
            <w:tcW w:type="dxa" w:w="1600"/>
            <w:shd w:fill="1E293B" w:val="clear"/>
          </w:tcPr>
          <w:p>
            <w:pPr>
              <w:jc w:val="center"/>
            </w:pPr>
            <w:r>
              <w:rPr>
                <w:b/>
                <w:bCs/>
                <w:color w:val="FFFFFF"/>
                <w:sz w:val="22"/>
                <w:szCs w:val="22"/>
              </w:rPr>
              <w:t xml:space="preserve">Authentication</w:t>
            </w:r>
          </w:p>
        </w:tc>
        <w:tc>
          <w:tcPr>
            <w:tcW w:type="dxa" w:w="2200"/>
            <w:shd w:fill="1E293B" w:val="clear"/>
          </w:tcPr>
          <w:p>
            <w:pPr>
              <w:jc w:val="center"/>
            </w:pPr>
            <w:r>
              <w:rPr>
                <w:b/>
                <w:bCs/>
                <w:color w:val="FFFFFF"/>
                <w:sz w:val="22"/>
                <w:szCs w:val="22"/>
              </w:rPr>
              <w:t xml:space="preserve">Expected Response</w:t>
            </w:r>
          </w:p>
        </w:tc>
      </w:tr>
      <w:tr>
        <w:tc>
          <w:tcPr>
            <w:tcW w:type="dxa" w:w="1200"/>
          </w:tcPr>
          <w:p>
            <w:pPr>
              <w:jc w:val="left"/>
            </w:pPr>
            <w:r>
              <w:rPr>
                <w:sz w:val="22"/>
                <w:szCs w:val="22"/>
              </w:rPr>
              <w:t xml:space="preserve">GET</w:t>
            </w:r>
          </w:p>
        </w:tc>
        <w:tc>
          <w:tcPr>
            <w:tcW w:type="dxa" w:w="3000"/>
          </w:tcPr>
          <w:p>
            <w:pPr>
              <w:jc w:val="center"/>
            </w:pPr>
            <w:r>
              <w:rPr>
                <w:sz w:val="22"/>
                <w:szCs w:val="22"/>
              </w:rPr>
              <w:t xml:space="preserve">/api/books/search</w:t>
            </w:r>
          </w:p>
        </w:tc>
        <w:tc>
          <w:tcPr>
            <w:tcW w:type="dxa" w:w="2800"/>
          </w:tcPr>
          <w:p>
            <w:pPr>
              <w:jc w:val="center"/>
            </w:pPr>
            <w:r>
              <w:rPr>
                <w:sz w:val="22"/>
                <w:szCs w:val="22"/>
              </w:rPr>
              <w:t xml:space="preserve">Search books across schools</w:t>
            </w:r>
          </w:p>
        </w:tc>
        <w:tc>
          <w:tcPr>
            <w:tcW w:type="dxa" w:w="1600"/>
          </w:tcPr>
          <w:p>
            <w:pPr>
              <w:jc w:val="center"/>
            </w:pPr>
            <w:r>
              <w:rPr>
                <w:sz w:val="22"/>
                <w:szCs w:val="22"/>
              </w:rPr>
              <w:t xml:space="preserve">Required</w:t>
            </w:r>
          </w:p>
        </w:tc>
        <w:tc>
          <w:tcPr>
            <w:tcW w:type="dxa" w:w="2200"/>
          </w:tcPr>
          <w:p>
            <w:pPr>
              <w:jc w:val="center"/>
            </w:pPr>
            <w:r>
              <w:rPr>
                <w:sz w:val="22"/>
                <w:szCs w:val="22"/>
              </w:rPr>
              <w:t xml:space="preserve">200 OK (Array of books)</w:t>
            </w:r>
          </w:p>
        </w:tc>
      </w:tr>
      <w:tr>
        <w:tc>
          <w:tcPr>
            <w:tcW w:type="dxa" w:w="1200"/>
            <w:shd w:fill="F8FAFC" w:val="clear"/>
          </w:tcPr>
          <w:p>
            <w:pPr>
              <w:jc w:val="left"/>
            </w:pPr>
            <w:r>
              <w:rPr>
                <w:sz w:val="22"/>
                <w:szCs w:val="22"/>
              </w:rPr>
              <w:t xml:space="preserve">GET</w:t>
            </w:r>
          </w:p>
        </w:tc>
        <w:tc>
          <w:tcPr>
            <w:tcW w:type="dxa" w:w="3000"/>
            <w:shd w:fill="F8FAFC" w:val="clear"/>
          </w:tcPr>
          <w:p>
            <w:pPr>
              <w:jc w:val="center"/>
            </w:pPr>
            <w:r>
              <w:rPr>
                <w:sz w:val="22"/>
                <w:szCs w:val="22"/>
              </w:rPr>
              <w:t xml:space="preserve">/api/books/:id</w:t>
            </w:r>
          </w:p>
        </w:tc>
        <w:tc>
          <w:tcPr>
            <w:tcW w:type="dxa" w:w="2800"/>
            <w:shd w:fill="F8FAFC" w:val="clear"/>
          </w:tcPr>
          <w:p>
            <w:pPr>
              <w:jc w:val="center"/>
            </w:pPr>
            <w:r>
              <w:rPr>
                <w:sz w:val="22"/>
                <w:szCs w:val="22"/>
              </w:rPr>
              <w:t xml:space="preserve">Retrieve specific book holding</w:t>
            </w:r>
          </w:p>
        </w:tc>
        <w:tc>
          <w:tcPr>
            <w:tcW w:type="dxa" w:w="1600"/>
            <w:shd w:fill="F8FAFC" w:val="clear"/>
          </w:tcPr>
          <w:p>
            <w:pPr>
              <w:jc w:val="center"/>
            </w:pPr>
            <w:r>
              <w:rPr>
                <w:sz w:val="22"/>
                <w:szCs w:val="22"/>
              </w:rPr>
              <w:t xml:space="preserve">Required</w:t>
            </w:r>
          </w:p>
        </w:tc>
        <w:tc>
          <w:tcPr>
            <w:tcW w:type="dxa" w:w="2200"/>
            <w:shd w:fill="F8FAFC" w:val="clear"/>
          </w:tcPr>
          <w:p>
            <w:pPr>
              <w:jc w:val="center"/>
            </w:pPr>
            <w:r>
              <w:rPr>
                <w:sz w:val="22"/>
                <w:szCs w:val="22"/>
              </w:rPr>
              <w:t xml:space="preserve">200 OK (Book Details)</w:t>
            </w:r>
          </w:p>
        </w:tc>
      </w:tr>
      <w:tr>
        <w:tc>
          <w:tcPr>
            <w:tcW w:type="dxa" w:w="1200"/>
          </w:tcPr>
          <w:p>
            <w:pPr>
              <w:jc w:val="left"/>
            </w:pPr>
            <w:r>
              <w:rPr>
                <w:sz w:val="22"/>
                <w:szCs w:val="22"/>
              </w:rPr>
              <w:t xml:space="preserve">POST</w:t>
            </w:r>
          </w:p>
        </w:tc>
        <w:tc>
          <w:tcPr>
            <w:tcW w:type="dxa" w:w="3000"/>
          </w:tcPr>
          <w:p>
            <w:pPr>
              <w:jc w:val="center"/>
            </w:pPr>
            <w:r>
              <w:rPr>
                <w:sz w:val="22"/>
                <w:szCs w:val="22"/>
              </w:rPr>
              <w:t xml:space="preserve">/api/borrow-requests</w:t>
            </w:r>
          </w:p>
        </w:tc>
        <w:tc>
          <w:tcPr>
            <w:tcW w:type="dxa" w:w="2800"/>
          </w:tcPr>
          <w:p>
            <w:pPr>
              <w:jc w:val="center"/>
            </w:pPr>
            <w:r>
              <w:rPr>
                <w:sz w:val="22"/>
                <w:szCs w:val="22"/>
              </w:rPr>
              <w:t xml:space="preserve">Submit inter-library request</w:t>
            </w:r>
          </w:p>
        </w:tc>
        <w:tc>
          <w:tcPr>
            <w:tcW w:type="dxa" w:w="1600"/>
          </w:tcPr>
          <w:p>
            <w:pPr>
              <w:jc w:val="center"/>
            </w:pPr>
            <w:r>
              <w:rPr>
                <w:sz w:val="22"/>
                <w:szCs w:val="22"/>
              </w:rPr>
              <w:t xml:space="preserve">Required</w:t>
            </w:r>
          </w:p>
        </w:tc>
        <w:tc>
          <w:tcPr>
            <w:tcW w:type="dxa" w:w="2200"/>
          </w:tcPr>
          <w:p>
            <w:pPr>
              <w:jc w:val="center"/>
            </w:pPr>
            <w:r>
              <w:rPr>
                <w:sz w:val="22"/>
                <w:szCs w:val="22"/>
              </w:rPr>
              <w:t xml:space="preserve">201 Created (Request Object)</w:t>
            </w:r>
          </w:p>
        </w:tc>
      </w:tr>
      <w:tr>
        <w:tc>
          <w:tcPr>
            <w:tcW w:type="dxa" w:w="1200"/>
            <w:shd w:fill="F8FAFC" w:val="clear"/>
          </w:tcPr>
          <w:p>
            <w:pPr>
              <w:jc w:val="left"/>
            </w:pPr>
            <w:r>
              <w:rPr>
                <w:sz w:val="22"/>
                <w:szCs w:val="22"/>
              </w:rPr>
              <w:t xml:space="preserve">GET</w:t>
            </w:r>
          </w:p>
        </w:tc>
        <w:tc>
          <w:tcPr>
            <w:tcW w:type="dxa" w:w="3000"/>
            <w:shd w:fill="F8FAFC" w:val="clear"/>
          </w:tcPr>
          <w:p>
            <w:pPr>
              <w:jc w:val="center"/>
            </w:pPr>
            <w:r>
              <w:rPr>
                <w:sz w:val="22"/>
                <w:szCs w:val="22"/>
              </w:rPr>
              <w:t xml:space="preserve">/api/borrow-requests/pending</w:t>
            </w:r>
          </w:p>
        </w:tc>
        <w:tc>
          <w:tcPr>
            <w:tcW w:type="dxa" w:w="2800"/>
            <w:shd w:fill="F8FAFC" w:val="clear"/>
          </w:tcPr>
          <w:p>
            <w:pPr>
              <w:jc w:val="center"/>
            </w:pPr>
            <w:r>
              <w:rPr>
                <w:sz w:val="22"/>
                <w:szCs w:val="22"/>
              </w:rPr>
              <w:t xml:space="preserve">Librarian pending inbox</w:t>
            </w:r>
          </w:p>
        </w:tc>
        <w:tc>
          <w:tcPr>
            <w:tcW w:type="dxa" w:w="1600"/>
            <w:shd w:fill="F8FAFC" w:val="clear"/>
          </w:tcPr>
          <w:p>
            <w:pPr>
              <w:jc w:val="center"/>
            </w:pPr>
            <w:r>
              <w:rPr>
                <w:sz w:val="22"/>
                <w:szCs w:val="22"/>
              </w:rPr>
              <w:t xml:space="preserve">Required</w:t>
            </w:r>
          </w:p>
        </w:tc>
        <w:tc>
          <w:tcPr>
            <w:tcW w:type="dxa" w:w="2200"/>
            <w:shd w:fill="F8FAFC" w:val="clear"/>
          </w:tcPr>
          <w:p>
            <w:pPr>
              <w:jc w:val="center"/>
            </w:pPr>
            <w:r>
              <w:rPr>
                <w:sz w:val="22"/>
                <w:szCs w:val="22"/>
              </w:rPr>
              <w:t xml:space="preserve">200 OK (Pending Requests)</w:t>
            </w:r>
          </w:p>
        </w:tc>
      </w:tr>
      <w:tr>
        <w:tc>
          <w:tcPr>
            <w:tcW w:type="dxa" w:w="1200"/>
          </w:tcPr>
          <w:p>
            <w:pPr>
              <w:jc w:val="left"/>
            </w:pPr>
            <w:r>
              <w:rPr>
                <w:sz w:val="22"/>
                <w:szCs w:val="22"/>
              </w:rPr>
              <w:t xml:space="preserve">PUT</w:t>
            </w:r>
          </w:p>
        </w:tc>
        <w:tc>
          <w:tcPr>
            <w:tcW w:type="dxa" w:w="3000"/>
          </w:tcPr>
          <w:p>
            <w:pPr>
              <w:jc w:val="center"/>
            </w:pPr>
            <w:r>
              <w:rPr>
                <w:sz w:val="22"/>
                <w:szCs w:val="22"/>
              </w:rPr>
              <w:t xml:space="preserve">/api/borrow-requests/:id/status</w:t>
            </w:r>
          </w:p>
        </w:tc>
        <w:tc>
          <w:tcPr>
            <w:tcW w:type="dxa" w:w="2800"/>
          </w:tcPr>
          <w:p>
            <w:pPr>
              <w:jc w:val="center"/>
            </w:pPr>
            <w:r>
              <w:rPr>
                <w:sz w:val="22"/>
                <w:szCs w:val="22"/>
              </w:rPr>
              <w:t xml:space="preserve">Approve or reject borrow request</w:t>
            </w:r>
          </w:p>
        </w:tc>
        <w:tc>
          <w:tcPr>
            <w:tcW w:type="dxa" w:w="1600"/>
          </w:tcPr>
          <w:p>
            <w:pPr>
              <w:jc w:val="center"/>
            </w:pPr>
            <w:r>
              <w:rPr>
                <w:sz w:val="22"/>
                <w:szCs w:val="22"/>
              </w:rPr>
              <w:t xml:space="preserve">Required</w:t>
            </w:r>
          </w:p>
        </w:tc>
        <w:tc>
          <w:tcPr>
            <w:tcW w:type="dxa" w:w="2200"/>
          </w:tcPr>
          <w:p>
            <w:pPr>
              <w:jc w:val="center"/>
            </w:pPr>
            <w:r>
              <w:rPr>
                <w:sz w:val="22"/>
                <w:szCs w:val="22"/>
              </w:rPr>
              <w:t xml:space="preserve">200 OK (Updated Status)</w:t>
            </w:r>
          </w:p>
        </w:tc>
      </w:tr>
      <w:tr>
        <w:tc>
          <w:tcPr>
            <w:tcW w:type="dxa" w:w="1200"/>
            <w:shd w:fill="F8FAFC" w:val="clear"/>
          </w:tcPr>
          <w:p>
            <w:pPr>
              <w:jc w:val="left"/>
            </w:pPr>
            <w:r>
              <w:rPr>
                <w:sz w:val="22"/>
                <w:szCs w:val="22"/>
              </w:rPr>
              <w:t xml:space="preserve">POST</w:t>
            </w:r>
          </w:p>
        </w:tc>
        <w:tc>
          <w:tcPr>
            <w:tcW w:type="dxa" w:w="3000"/>
            <w:shd w:fill="F8FAFC" w:val="clear"/>
          </w:tcPr>
          <w:p>
            <w:pPr>
              <w:jc w:val="center"/>
            </w:pPr>
            <w:r>
              <w:rPr>
                <w:sz w:val="22"/>
                <w:szCs w:val="22"/>
              </w:rPr>
              <w:t xml:space="preserve">/api/tokens/verify</w:t>
            </w:r>
          </w:p>
        </w:tc>
        <w:tc>
          <w:tcPr>
            <w:tcW w:type="dxa" w:w="2800"/>
            <w:shd w:fill="F8FAFC" w:val="clear"/>
          </w:tcPr>
          <w:p>
            <w:pPr>
              <w:jc w:val="center"/>
            </w:pPr>
            <w:r>
              <w:rPr>
                <w:sz w:val="22"/>
                <w:szCs w:val="22"/>
              </w:rPr>
              <w:t xml:space="preserve">Validate Access Token at partner school</w:t>
            </w:r>
          </w:p>
        </w:tc>
        <w:tc>
          <w:tcPr>
            <w:tcW w:type="dxa" w:w="1600"/>
            <w:shd w:fill="F8FAFC" w:val="clear"/>
          </w:tcPr>
          <w:p>
            <w:pPr>
              <w:jc w:val="center"/>
            </w:pPr>
            <w:r>
              <w:rPr>
                <w:sz w:val="22"/>
                <w:szCs w:val="22"/>
              </w:rPr>
              <w:t xml:space="preserve">Required</w:t>
            </w:r>
          </w:p>
        </w:tc>
        <w:tc>
          <w:tcPr>
            <w:tcW w:type="dxa" w:w="2200"/>
            <w:shd w:fill="F8FAFC" w:val="clear"/>
          </w:tcPr>
          <w:p>
            <w:pPr>
              <w:jc w:val="center"/>
            </w:pPr>
            <w:r>
              <w:rPr>
                <w:sz w:val="22"/>
                <w:szCs w:val="22"/>
              </w:rPr>
              <w:t xml:space="preserve">200 OK (Validation Result)</w:t>
            </w:r>
          </w:p>
        </w:tc>
      </w:tr>
    </w:tbl>
    <w:p>
      <w:pPr>
        <w:spacing w:after="120" w:line="360"/>
      </w:pPr>
      <w:r>
        <w:rPr>
          <w:i w:val="false"/>
          <w:iCs w:val="false"/>
          <w:sz w:val="24"/>
          <w:szCs w:val="24"/>
        </w:rPr>
        <w:t xml:space="preserve"/>
      </w:r>
    </w:p>
    <w:p>
      <w:pPr>
        <w:spacing w:after="60" w:before="140"/>
      </w:pPr>
      <w:r>
        <w:rPr>
          <w:b/>
          <w:bCs/>
          <w:sz w:val="24"/>
          <w:szCs w:val="24"/>
        </w:rPr>
        <w:t xml:space="preserve">h. Security and Access Control</w:t>
      </w:r>
    </w:p>
    <w:p>
      <w:pPr>
        <w:spacing w:after="120" w:line="360"/>
      </w:pPr>
      <w:r>
        <w:rPr>
          <w:i w:val="false"/>
          <w:iCs w:val="false"/>
          <w:sz w:val="24"/>
          <w:szCs w:val="24"/>
        </w:rPr>
        <w:t xml:space="preserve">LibraLink incorporates enterprise security features: Role-Based Access Control (RBAC) assigning explicit permissions for Super Admins, Librarian Admins, Librarians, and Students; Supabase Row-Level Security (RLS) preventing unauthorized cross-school modifications; cryptographic token generation for physical redemption; and comprehensive administrative audit logging.</w:t>
      </w:r>
    </w:p>
    <w:p>
      <w:pPr>
        <w:spacing w:after="60" w:before="140"/>
      </w:pPr>
      <w:r>
        <w:rPr>
          <w:b/>
          <w:bCs/>
          <w:sz w:val="24"/>
          <w:szCs w:val="24"/>
        </w:rPr>
        <w:t xml:space="preserve">i. Technology Stack Summary</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2600"/>
        <w:gridCol w:w="6200"/>
      </w:tblGrid>
      <w:tr>
        <w:tc>
          <w:tcPr>
            <w:tcW w:type="dxa" w:w="2000"/>
            <w:shd w:fill="1E293B" w:val="clear"/>
          </w:tcPr>
          <w:p>
            <w:pPr>
              <w:jc w:val="center"/>
            </w:pPr>
            <w:r>
              <w:rPr>
                <w:b/>
                <w:bCs/>
                <w:color w:val="FFFFFF"/>
                <w:sz w:val="22"/>
                <w:szCs w:val="22"/>
              </w:rPr>
              <w:t xml:space="preserve">Component</w:t>
            </w:r>
          </w:p>
        </w:tc>
        <w:tc>
          <w:tcPr>
            <w:tcW w:type="dxa" w:w="2600"/>
            <w:shd w:fill="1E293B" w:val="clear"/>
          </w:tcPr>
          <w:p>
            <w:pPr>
              <w:jc w:val="center"/>
            </w:pPr>
            <w:r>
              <w:rPr>
                <w:b/>
                <w:bCs/>
                <w:color w:val="FFFFFF"/>
                <w:sz w:val="22"/>
                <w:szCs w:val="22"/>
              </w:rPr>
              <w:t xml:space="preserve">Technology</w:t>
            </w:r>
          </w:p>
        </w:tc>
        <w:tc>
          <w:tcPr>
            <w:tcW w:type="dxa" w:w="6200"/>
            <w:shd w:fill="1E293B" w:val="clear"/>
          </w:tcPr>
          <w:p>
            <w:pPr>
              <w:jc w:val="center"/>
            </w:pPr>
            <w:r>
              <w:rPr>
                <w:b/>
                <w:bCs/>
                <w:color w:val="FFFFFF"/>
                <w:sz w:val="22"/>
                <w:szCs w:val="22"/>
              </w:rPr>
              <w:t xml:space="preserve">Selection Rationale</w:t>
            </w:r>
          </w:p>
        </w:tc>
      </w:tr>
      <w:tr>
        <w:tc>
          <w:tcPr>
            <w:tcW w:type="dxa" w:w="2000"/>
          </w:tcPr>
          <w:p>
            <w:pPr>
              <w:jc w:val="center"/>
            </w:pPr>
            <w:r>
              <w:rPr>
                <w:sz w:val="22"/>
                <w:szCs w:val="22"/>
              </w:rPr>
              <w:t xml:space="preserve">Frontend Framework</w:t>
            </w:r>
          </w:p>
        </w:tc>
        <w:tc>
          <w:tcPr>
            <w:tcW w:type="dxa" w:w="2600"/>
          </w:tcPr>
          <w:p>
            <w:pPr>
              <w:jc w:val="center"/>
            </w:pPr>
            <w:r>
              <w:rPr>
                <w:sz w:val="22"/>
                <w:szCs w:val="22"/>
              </w:rPr>
              <w:t xml:space="preserve">ReactJS (v19) &amp; Vite</w:t>
            </w:r>
          </w:p>
        </w:tc>
        <w:tc>
          <w:tcPr>
            <w:tcW w:type="dxa" w:w="6200"/>
          </w:tcPr>
          <w:p>
            <w:pPr>
              <w:jc w:val="center"/>
            </w:pPr>
            <w:r>
              <w:rPr>
                <w:sz w:val="22"/>
                <w:szCs w:val="22"/>
              </w:rPr>
              <w:t xml:space="preserve">Component modularity, reactive state updates, and ultra-fast build speed</w:t>
            </w:r>
          </w:p>
        </w:tc>
      </w:tr>
      <w:tr>
        <w:tc>
          <w:tcPr>
            <w:tcW w:type="dxa" w:w="2000"/>
            <w:shd w:fill="F8FAFC" w:val="clear"/>
          </w:tcPr>
          <w:p>
            <w:pPr>
              <w:jc w:val="center"/>
            </w:pPr>
            <w:r>
              <w:rPr>
                <w:sz w:val="22"/>
                <w:szCs w:val="22"/>
              </w:rPr>
              <w:t xml:space="preserve">Styling Framework</w:t>
            </w:r>
          </w:p>
        </w:tc>
        <w:tc>
          <w:tcPr>
            <w:tcW w:type="dxa" w:w="2600"/>
            <w:shd w:fill="F8FAFC" w:val="clear"/>
          </w:tcPr>
          <w:p>
            <w:pPr>
              <w:jc w:val="center"/>
            </w:pPr>
            <w:r>
              <w:rPr>
                <w:sz w:val="22"/>
                <w:szCs w:val="22"/>
              </w:rPr>
              <w:t xml:space="preserve">Tailwind CSS</w:t>
            </w:r>
          </w:p>
        </w:tc>
        <w:tc>
          <w:tcPr>
            <w:tcW w:type="dxa" w:w="6200"/>
            <w:shd w:fill="F8FAFC" w:val="clear"/>
          </w:tcPr>
          <w:p>
            <w:pPr>
              <w:jc w:val="center"/>
            </w:pPr>
            <w:r>
              <w:rPr>
                <w:sz w:val="22"/>
                <w:szCs w:val="22"/>
              </w:rPr>
              <w:t xml:space="preserve">Mobile-first, utility-based CSS supporting clean, accessible responsive layouts</w:t>
            </w:r>
          </w:p>
        </w:tc>
      </w:tr>
      <w:tr>
        <w:tc>
          <w:tcPr>
            <w:tcW w:type="dxa" w:w="2000"/>
          </w:tcPr>
          <w:p>
            <w:pPr>
              <w:jc w:val="center"/>
            </w:pPr>
            <w:r>
              <w:rPr>
                <w:sz w:val="22"/>
                <w:szCs w:val="22"/>
              </w:rPr>
              <w:t xml:space="preserve">Backend Runtime</w:t>
            </w:r>
          </w:p>
        </w:tc>
        <w:tc>
          <w:tcPr>
            <w:tcW w:type="dxa" w:w="2600"/>
          </w:tcPr>
          <w:p>
            <w:pPr>
              <w:jc w:val="center"/>
            </w:pPr>
            <w:r>
              <w:rPr>
                <w:sz w:val="22"/>
                <w:szCs w:val="22"/>
              </w:rPr>
              <w:t xml:space="preserve">Node.js</w:t>
            </w:r>
          </w:p>
        </w:tc>
        <w:tc>
          <w:tcPr>
            <w:tcW w:type="dxa" w:w="6200"/>
          </w:tcPr>
          <w:p>
            <w:pPr>
              <w:jc w:val="center"/>
            </w:pPr>
            <w:r>
              <w:rPr>
                <w:sz w:val="22"/>
                <w:szCs w:val="22"/>
              </w:rPr>
              <w:t xml:space="preserve">Asynchronous, event-driven engine handling high concurrency</w:t>
            </w:r>
          </w:p>
        </w:tc>
      </w:tr>
      <w:tr>
        <w:tc>
          <w:tcPr>
            <w:tcW w:type="dxa" w:w="2000"/>
            <w:shd w:fill="F8FAFC" w:val="clear"/>
          </w:tcPr>
          <w:p>
            <w:pPr>
              <w:jc w:val="center"/>
            </w:pPr>
            <w:r>
              <w:rPr>
                <w:sz w:val="22"/>
                <w:szCs w:val="22"/>
              </w:rPr>
              <w:t xml:space="preserve">API Framework</w:t>
            </w:r>
          </w:p>
        </w:tc>
        <w:tc>
          <w:tcPr>
            <w:tcW w:type="dxa" w:w="2600"/>
            <w:shd w:fill="F8FAFC" w:val="clear"/>
          </w:tcPr>
          <w:p>
            <w:pPr>
              <w:jc w:val="center"/>
            </w:pPr>
            <w:r>
              <w:rPr>
                <w:sz w:val="22"/>
                <w:szCs w:val="22"/>
              </w:rPr>
              <w:t xml:space="preserve">Express.js</w:t>
            </w:r>
          </w:p>
        </w:tc>
        <w:tc>
          <w:tcPr>
            <w:tcW w:type="dxa" w:w="6200"/>
            <w:shd w:fill="F8FAFC" w:val="clear"/>
          </w:tcPr>
          <w:p>
            <w:pPr>
              <w:jc w:val="center"/>
            </w:pPr>
            <w:r>
              <w:rPr>
                <w:sz w:val="22"/>
                <w:szCs w:val="22"/>
              </w:rPr>
              <w:t xml:space="preserve">Minimalist REST routing and middleware pipeline</w:t>
            </w:r>
          </w:p>
        </w:tc>
      </w:tr>
      <w:tr>
        <w:tc>
          <w:tcPr>
            <w:tcW w:type="dxa" w:w="2000"/>
          </w:tcPr>
          <w:p>
            <w:pPr>
              <w:jc w:val="center"/>
            </w:pPr>
            <w:r>
              <w:rPr>
                <w:sz w:val="22"/>
                <w:szCs w:val="22"/>
              </w:rPr>
              <w:t xml:space="preserve">Database Management</w:t>
            </w:r>
          </w:p>
        </w:tc>
        <w:tc>
          <w:tcPr>
            <w:tcW w:type="dxa" w:w="2600"/>
          </w:tcPr>
          <w:p>
            <w:pPr>
              <w:jc w:val="center"/>
            </w:pPr>
            <w:r>
              <w:rPr>
                <w:sz w:val="22"/>
                <w:szCs w:val="22"/>
              </w:rPr>
              <w:t xml:space="preserve">Supabase / PostgreSQL</w:t>
            </w:r>
          </w:p>
        </w:tc>
        <w:tc>
          <w:tcPr>
            <w:tcW w:type="dxa" w:w="6200"/>
          </w:tcPr>
          <w:p>
            <w:pPr>
              <w:jc w:val="center"/>
            </w:pPr>
            <w:r>
              <w:rPr>
                <w:sz w:val="22"/>
                <w:szCs w:val="22"/>
              </w:rPr>
              <w:t xml:space="preserve">ACID compliance, relational integrity, and Row-Level Security (RLS)</w:t>
            </w:r>
          </w:p>
        </w:tc>
      </w:tr>
      <w:tr>
        <w:tc>
          <w:tcPr>
            <w:tcW w:type="dxa" w:w="2000"/>
            <w:shd w:fill="F8FAFC" w:val="clear"/>
          </w:tcPr>
          <w:p>
            <w:pPr>
              <w:jc w:val="center"/>
            </w:pPr>
            <w:r>
              <w:rPr>
                <w:sz w:val="22"/>
                <w:szCs w:val="22"/>
              </w:rPr>
              <w:t xml:space="preserve">Quality Assurance</w:t>
            </w:r>
          </w:p>
        </w:tc>
        <w:tc>
          <w:tcPr>
            <w:tcW w:type="dxa" w:w="2600"/>
            <w:shd w:fill="F8FAFC" w:val="clear"/>
          </w:tcPr>
          <w:p>
            <w:pPr>
              <w:jc w:val="center"/>
            </w:pPr>
            <w:r>
              <w:rPr>
                <w:sz w:val="22"/>
                <w:szCs w:val="22"/>
              </w:rPr>
              <w:t xml:space="preserve">Postman</w:t>
            </w:r>
          </w:p>
        </w:tc>
        <w:tc>
          <w:tcPr>
            <w:tcW w:type="dxa" w:w="6200"/>
            <w:shd w:fill="F8FAFC" w:val="clear"/>
          </w:tcPr>
          <w:p>
            <w:pPr>
              <w:jc w:val="center"/>
            </w:pPr>
            <w:r>
              <w:rPr>
                <w:sz w:val="22"/>
                <w:szCs w:val="22"/>
              </w:rPr>
              <w:t xml:space="preserve">API contract testing, endpoint debugging, and validation</w:t>
            </w:r>
          </w:p>
        </w:tc>
      </w:tr>
    </w:tbl>
    <w:p>
      <w:pPr>
        <w:spacing w:after="120" w:line="360"/>
      </w:pPr>
      <w:r>
        <w:rPr>
          <w:i w:val="false"/>
          <w:iCs w:val="false"/>
          <w:sz w:val="24"/>
          <w:szCs w:val="24"/>
        </w:rPr>
        <w:t xml:space="preserve"/>
      </w:r>
    </w:p>
    <w:p>
      <w:pPr>
        <w:pStyle w:val="Heading3"/>
        <w:spacing w:after="80" w:before="200"/>
      </w:pPr>
      <w:r>
        <w:t xml:space="preserve">2. SYSTEM FEATURES AND USER INTERFACE</w:t>
      </w:r>
    </w:p>
    <w:p>
      <w:pPr>
        <w:spacing w:after="120" w:line="360"/>
      </w:pPr>
      <w:r>
        <w:rPr>
          <w:i w:val="false"/>
          <w:iCs w:val="false"/>
          <w:sz w:val="24"/>
          <w:szCs w:val="24"/>
        </w:rPr>
        <w:t xml:space="preserve">This section presents the actual implemented interfaces, screenshots, functional modules, and user workflows of the LibraLink platform.</w:t>
      </w:r>
    </w:p>
    <w:p>
      <w:pPr>
        <w:spacing w:after="60" w:before="140"/>
      </w:pPr>
      <w:r>
        <w:rPr>
          <w:b/>
          <w:bCs/>
          <w:sz w:val="24"/>
          <w:szCs w:val="24"/>
        </w:rPr>
        <w:t xml:space="preserve">a. Public Landing Page and Authentication Interface</w:t>
      </w:r>
    </w:p>
    <w:p>
      <w:pPr>
        <w:spacing w:after="120" w:line="360"/>
      </w:pPr>
      <w:r>
        <w:rPr>
          <w:i w:val="false"/>
          <w:iCs w:val="false"/>
          <w:sz w:val="24"/>
          <w:szCs w:val="24"/>
        </w:rPr>
        <w:t xml:space="preserve">Figure 4.6 displays the public landing interface of LibraLink. It features modern typography, responsive cards highlighting inter-library sharing capabilities, and institutional login options for Guagua National College and Santa Rita College.</w:t>
      </w:r>
    </w:p>
    <w:p>
      <w:pPr>
        <w:spacing w:after="60" w:before="120"/>
        <w:jc w:val="center"/>
      </w:pPr>
      <w:r>
        <w:drawing>
          <wp:inline distT="0" distB="0" distL="0" distR="0">
            <wp:extent cx="5238750" cy="2952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952750"/>
                    </a:xfrm>
                    <a:prstGeom prst="rect">
                      <a:avLst/>
                    </a:prstGeom>
                  </pic:spPr>
                </pic:pic>
              </a:graphicData>
            </a:graphic>
          </wp:inline>
        </w:drawing>
      </w:r>
    </w:p>
    <w:p>
      <w:pPr>
        <w:spacing w:after="180" w:before="80"/>
        <w:jc w:val="center"/>
      </w:pPr>
      <w:r>
        <w:rPr>
          <w:b/>
          <w:bCs/>
          <w:i/>
          <w:iCs/>
          <w:sz w:val="22"/>
          <w:szCs w:val="22"/>
        </w:rPr>
        <w:t xml:space="preserve">Figure 4.6: LibraLink Landing Page and Authentication Interface</w:t>
      </w:r>
    </w:p>
    <w:p>
      <w:pPr>
        <w:spacing w:after="60" w:before="140"/>
      </w:pPr>
      <w:r>
        <w:rPr>
          <w:b/>
          <w:bCs/>
          <w:sz w:val="24"/>
          <w:szCs w:val="24"/>
        </w:rPr>
        <w:t xml:space="preserve">b. Student Discovery Dashboard and Catalog Search</w:t>
      </w:r>
    </w:p>
    <w:p>
      <w:pPr>
        <w:spacing w:after="120" w:line="360"/>
      </w:pPr>
      <w:r>
        <w:rPr>
          <w:i w:val="false"/>
          <w:iCs w:val="false"/>
          <w:sz w:val="24"/>
          <w:szCs w:val="24"/>
        </w:rPr>
        <w:t xml:space="preserve">Figure 4.7 showcases the student dashboard. Students can filter holdings by campus, search by title or author, view book availability, and initiate an inter-library borrow request when a book is present in a partner library.</w:t>
      </w:r>
    </w:p>
    <w:p>
      <w:pPr>
        <w:spacing w:after="60" w:before="120"/>
        <w:jc w:val="center"/>
      </w:pPr>
      <w:r>
        <w:drawing>
          <wp:inline distT="0" distB="0" distL="0" distR="0">
            <wp:extent cx="5238750" cy="2952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952750"/>
                    </a:xfrm>
                    <a:prstGeom prst="rect">
                      <a:avLst/>
                    </a:prstGeom>
                  </pic:spPr>
                </pic:pic>
              </a:graphicData>
            </a:graphic>
          </wp:inline>
        </w:drawing>
      </w:r>
    </w:p>
    <w:p>
      <w:pPr>
        <w:spacing w:after="180" w:before="80"/>
        <w:jc w:val="center"/>
      </w:pPr>
      <w:r>
        <w:rPr>
          <w:b/>
          <w:bCs/>
          <w:i/>
          <w:iCs/>
          <w:sz w:val="22"/>
          <w:szCs w:val="22"/>
        </w:rPr>
        <w:t xml:space="preserve">Figure 4.7: LibraLink Student Dashboard and Cross-School Catalog Search</w:t>
      </w:r>
    </w:p>
    <w:p>
      <w:pPr>
        <w:spacing w:after="60" w:before="140"/>
      </w:pPr>
      <w:r>
        <w:rPr>
          <w:b/>
          <w:bCs/>
          <w:sz w:val="24"/>
          <w:szCs w:val="24"/>
        </w:rPr>
        <w:t xml:space="preserve">c. Librarian Administrative Portal</w:t>
      </w:r>
    </w:p>
    <w:p>
      <w:pPr>
        <w:spacing w:after="120" w:line="360"/>
      </w:pPr>
      <w:r>
        <w:rPr>
          <w:i w:val="false"/>
          <w:iCs w:val="false"/>
          <w:sz w:val="24"/>
          <w:szCs w:val="24"/>
        </w:rPr>
        <w:t xml:space="preserve">Figure 4.8 presents the librarian management interface. It provides circulation metrics, an approval inbox for incoming student requests, Access Token verification tools, and book inventory management controls.</w:t>
      </w:r>
    </w:p>
    <w:p>
      <w:pPr>
        <w:spacing w:after="60" w:before="120"/>
        <w:jc w:val="center"/>
      </w:pPr>
      <w:r>
        <w:drawing>
          <wp:inline distT="0" distB="0" distL="0" distR="0">
            <wp:extent cx="5238750" cy="2952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52750"/>
                    </a:xfrm>
                    <a:prstGeom prst="rect">
                      <a:avLst/>
                    </a:prstGeom>
                  </pic:spPr>
                </pic:pic>
              </a:graphicData>
            </a:graphic>
          </wp:inline>
        </w:drawing>
      </w:r>
    </w:p>
    <w:p>
      <w:pPr>
        <w:spacing w:after="180" w:before="80"/>
        <w:jc w:val="center"/>
      </w:pPr>
      <w:r>
        <w:rPr>
          <w:b/>
          <w:bCs/>
          <w:i/>
          <w:iCs/>
          <w:sz w:val="22"/>
          <w:szCs w:val="22"/>
        </w:rPr>
        <w:t xml:space="preserve">Figure 4.8: LibraLink Librarian Administrative and Approval Dashboard</w:t>
      </w:r>
    </w:p>
    <w:p>
      <w:pPr>
        <w:spacing w:after="60" w:before="140"/>
      </w:pPr>
      <w:r>
        <w:rPr>
          <w:b/>
          <w:bCs/>
          <w:sz w:val="24"/>
          <w:szCs w:val="24"/>
        </w:rPr>
        <w:t xml:space="preserve">d. Feature-to-Objective Traceability Matrix</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600"/>
        <w:gridCol w:w="3200"/>
        <w:gridCol w:w="1600"/>
      </w:tblGrid>
      <w:tr>
        <w:tc>
          <w:tcPr>
            <w:tcW w:type="dxa" w:w="2200"/>
            <w:shd w:fill="1E293B" w:val="clear"/>
          </w:tcPr>
          <w:p>
            <w:pPr>
              <w:jc w:val="center"/>
            </w:pPr>
            <w:r>
              <w:rPr>
                <w:b/>
                <w:bCs/>
                <w:color w:val="FFFFFF"/>
                <w:sz w:val="22"/>
                <w:szCs w:val="22"/>
              </w:rPr>
              <w:t xml:space="preserve">Specific Objective</w:t>
            </w:r>
          </w:p>
        </w:tc>
        <w:tc>
          <w:tcPr>
            <w:tcW w:type="dxa" w:w="2600"/>
            <w:shd w:fill="1E293B" w:val="clear"/>
          </w:tcPr>
          <w:p>
            <w:pPr>
              <w:jc w:val="center"/>
            </w:pPr>
            <w:r>
              <w:rPr>
                <w:b/>
                <w:bCs/>
                <w:color w:val="FFFFFF"/>
                <w:sz w:val="22"/>
                <w:szCs w:val="22"/>
              </w:rPr>
              <w:t xml:space="preserve">Implemented Module</w:t>
            </w:r>
          </w:p>
        </w:tc>
        <w:tc>
          <w:tcPr>
            <w:tcW w:type="dxa" w:w="3200"/>
            <w:shd w:fill="1E293B" w:val="clear"/>
          </w:tcPr>
          <w:p>
            <w:pPr>
              <w:jc w:val="center"/>
            </w:pPr>
            <w:r>
              <w:rPr>
                <w:b/>
                <w:bCs/>
                <w:color w:val="FFFFFF"/>
                <w:sz w:val="22"/>
                <w:szCs w:val="22"/>
              </w:rPr>
              <w:t xml:space="preserve">Implementation Evidence</w:t>
            </w:r>
          </w:p>
        </w:tc>
        <w:tc>
          <w:tcPr>
            <w:tcW w:type="dxa" w:w="1600"/>
            <w:shd w:fill="1E293B" w:val="clear"/>
          </w:tcPr>
          <w:p>
            <w:pPr>
              <w:jc w:val="center"/>
            </w:pPr>
            <w:r>
              <w:rPr>
                <w:b/>
                <w:bCs/>
                <w:color w:val="FFFFFF"/>
                <w:sz w:val="22"/>
                <w:szCs w:val="22"/>
              </w:rPr>
              <w:t xml:space="preserve">Status</w:t>
            </w:r>
          </w:p>
        </w:tc>
      </w:tr>
      <w:tr>
        <w:tc>
          <w:tcPr>
            <w:tcW w:type="dxa" w:w="2200"/>
          </w:tcPr>
          <w:p>
            <w:pPr>
              <w:jc w:val="left"/>
            </w:pPr>
            <w:r>
              <w:rPr>
                <w:sz w:val="22"/>
                <w:szCs w:val="22"/>
              </w:rPr>
              <w:t xml:space="preserve">Objective 1: Multi-School Discovery</w:t>
            </w:r>
          </w:p>
        </w:tc>
        <w:tc>
          <w:tcPr>
            <w:tcW w:type="dxa" w:w="2600"/>
          </w:tcPr>
          <w:p>
            <w:pPr>
              <w:jc w:val="center"/>
            </w:pPr>
            <w:r>
              <w:rPr>
                <w:sz w:val="22"/>
                <w:szCs w:val="22"/>
              </w:rPr>
              <w:t xml:space="preserve">Catalog Search Module</w:t>
            </w:r>
          </w:p>
        </w:tc>
        <w:tc>
          <w:tcPr>
            <w:tcW w:type="dxa" w:w="3200"/>
          </w:tcPr>
          <w:p>
            <w:pPr>
              <w:jc w:val="center"/>
            </w:pPr>
            <w:r>
              <w:rPr>
                <w:sz w:val="22"/>
                <w:szCs w:val="22"/>
              </w:rPr>
              <w:t xml:space="preserve">Figure 4.7: Student Dashboard</w:t>
            </w:r>
          </w:p>
        </w:tc>
        <w:tc>
          <w:tcPr>
            <w:tcW w:type="dxa" w:w="1600"/>
          </w:tcPr>
          <w:p>
            <w:pPr>
              <w:jc w:val="center"/>
            </w:pPr>
            <w:r>
              <w:rPr>
                <w:sz w:val="22"/>
                <w:szCs w:val="22"/>
              </w:rPr>
              <w:t xml:space="preserve">Fulfilled</w:t>
            </w:r>
          </w:p>
        </w:tc>
      </w:tr>
      <w:tr>
        <w:tc>
          <w:tcPr>
            <w:tcW w:type="dxa" w:w="2200"/>
            <w:shd w:fill="F8FAFC" w:val="clear"/>
          </w:tcPr>
          <w:p>
            <w:pPr>
              <w:jc w:val="left"/>
            </w:pPr>
            <w:r>
              <w:rPr>
                <w:sz w:val="22"/>
                <w:szCs w:val="22"/>
              </w:rPr>
              <w:t xml:space="preserve">Objective 2: Inter-Library Request Routing</w:t>
            </w:r>
          </w:p>
        </w:tc>
        <w:tc>
          <w:tcPr>
            <w:tcW w:type="dxa" w:w="2600"/>
            <w:shd w:fill="F8FAFC" w:val="clear"/>
          </w:tcPr>
          <w:p>
            <w:pPr>
              <w:jc w:val="center"/>
            </w:pPr>
            <w:r>
              <w:rPr>
                <w:sz w:val="22"/>
                <w:szCs w:val="22"/>
              </w:rPr>
              <w:t xml:space="preserve">Borrow Request Service</w:t>
            </w:r>
          </w:p>
        </w:tc>
        <w:tc>
          <w:tcPr>
            <w:tcW w:type="dxa" w:w="3200"/>
            <w:shd w:fill="F8FAFC" w:val="clear"/>
          </w:tcPr>
          <w:p>
            <w:pPr>
              <w:jc w:val="center"/>
            </w:pPr>
            <w:r>
              <w:rPr>
                <w:sz w:val="22"/>
                <w:szCs w:val="22"/>
              </w:rPr>
              <w:t xml:space="preserve">Figure 4.7: Borrow Modal</w:t>
            </w:r>
          </w:p>
        </w:tc>
        <w:tc>
          <w:tcPr>
            <w:tcW w:type="dxa" w:w="1600"/>
            <w:shd w:fill="F8FAFC" w:val="clear"/>
          </w:tcPr>
          <w:p>
            <w:pPr>
              <w:jc w:val="center"/>
            </w:pPr>
            <w:r>
              <w:rPr>
                <w:sz w:val="22"/>
                <w:szCs w:val="22"/>
              </w:rPr>
              <w:t xml:space="preserve">Fulfilled</w:t>
            </w:r>
          </w:p>
        </w:tc>
      </w:tr>
      <w:tr>
        <w:tc>
          <w:tcPr>
            <w:tcW w:type="dxa" w:w="2200"/>
          </w:tcPr>
          <w:p>
            <w:pPr>
              <w:jc w:val="left"/>
            </w:pPr>
            <w:r>
              <w:rPr>
                <w:sz w:val="22"/>
                <w:szCs w:val="22"/>
              </w:rPr>
              <w:t xml:space="preserve">Objective 3: Librarian Dual Approval</w:t>
            </w:r>
          </w:p>
        </w:tc>
        <w:tc>
          <w:tcPr>
            <w:tcW w:type="dxa" w:w="2600"/>
          </w:tcPr>
          <w:p>
            <w:pPr>
              <w:jc w:val="center"/>
            </w:pPr>
            <w:r>
              <w:rPr>
                <w:sz w:val="22"/>
                <w:szCs w:val="22"/>
              </w:rPr>
              <w:t xml:space="preserve">Librarian Inbox Module</w:t>
            </w:r>
          </w:p>
        </w:tc>
        <w:tc>
          <w:tcPr>
            <w:tcW w:type="dxa" w:w="3200"/>
          </w:tcPr>
          <w:p>
            <w:pPr>
              <w:jc w:val="center"/>
            </w:pPr>
            <w:r>
              <w:rPr>
                <w:sz w:val="22"/>
                <w:szCs w:val="22"/>
              </w:rPr>
              <w:t xml:space="preserve">Figure 4.8: Admin Dashboard</w:t>
            </w:r>
          </w:p>
        </w:tc>
        <w:tc>
          <w:tcPr>
            <w:tcW w:type="dxa" w:w="1600"/>
          </w:tcPr>
          <w:p>
            <w:pPr>
              <w:jc w:val="center"/>
            </w:pPr>
            <w:r>
              <w:rPr>
                <w:sz w:val="22"/>
                <w:szCs w:val="22"/>
              </w:rPr>
              <w:t xml:space="preserve">Fulfilled</w:t>
            </w:r>
          </w:p>
        </w:tc>
      </w:tr>
      <w:tr>
        <w:tc>
          <w:tcPr>
            <w:tcW w:type="dxa" w:w="2200"/>
            <w:shd w:fill="F8FAFC" w:val="clear"/>
          </w:tcPr>
          <w:p>
            <w:pPr>
              <w:jc w:val="left"/>
            </w:pPr>
            <w:r>
              <w:rPr>
                <w:sz w:val="22"/>
                <w:szCs w:val="22"/>
              </w:rPr>
              <w:t xml:space="preserve">Objective 4: Physical Access Verification</w:t>
            </w:r>
          </w:p>
        </w:tc>
        <w:tc>
          <w:tcPr>
            <w:tcW w:type="dxa" w:w="2600"/>
            <w:shd w:fill="F8FAFC" w:val="clear"/>
          </w:tcPr>
          <w:p>
            <w:pPr>
              <w:jc w:val="center"/>
            </w:pPr>
            <w:r>
              <w:rPr>
                <w:sz w:val="22"/>
                <w:szCs w:val="22"/>
              </w:rPr>
              <w:t xml:space="preserve">Digital Token Generator</w:t>
            </w:r>
          </w:p>
        </w:tc>
        <w:tc>
          <w:tcPr>
            <w:tcW w:type="dxa" w:w="3200"/>
            <w:shd w:fill="F8FAFC" w:val="clear"/>
          </w:tcPr>
          <w:p>
            <w:pPr>
              <w:jc w:val="center"/>
            </w:pPr>
            <w:r>
              <w:rPr>
                <w:sz w:val="22"/>
                <w:szCs w:val="22"/>
              </w:rPr>
              <w:t xml:space="preserve">Figure 4.1: Flow Lifecycle</w:t>
            </w:r>
          </w:p>
        </w:tc>
        <w:tc>
          <w:tcPr>
            <w:tcW w:type="dxa" w:w="1600"/>
            <w:shd w:fill="F8FAFC" w:val="clear"/>
          </w:tcPr>
          <w:p>
            <w:pPr>
              <w:jc w:val="center"/>
            </w:pPr>
            <w:r>
              <w:rPr>
                <w:sz w:val="22"/>
                <w:szCs w:val="22"/>
              </w:rPr>
              <w:t xml:space="preserve">Fulfilled</w:t>
            </w:r>
          </w:p>
        </w:tc>
      </w:tr>
      <w:tr>
        <w:tc>
          <w:tcPr>
            <w:tcW w:type="dxa" w:w="2200"/>
          </w:tcPr>
          <w:p>
            <w:pPr>
              <w:jc w:val="left"/>
            </w:pPr>
            <w:r>
              <w:rPr>
                <w:sz w:val="22"/>
                <w:szCs w:val="22"/>
              </w:rPr>
              <w:t xml:space="preserve">Objective 5: ISO/IEC 25010 Evaluation</w:t>
            </w:r>
          </w:p>
        </w:tc>
        <w:tc>
          <w:tcPr>
            <w:tcW w:type="dxa" w:w="2600"/>
          </w:tcPr>
          <w:p>
            <w:pPr>
              <w:jc w:val="center"/>
            </w:pPr>
            <w:r>
              <w:rPr>
                <w:sz w:val="22"/>
                <w:szCs w:val="22"/>
              </w:rPr>
              <w:t xml:space="preserve">System Evaluation Framework</w:t>
            </w:r>
          </w:p>
        </w:tc>
        <w:tc>
          <w:tcPr>
            <w:tcW w:type="dxa" w:w="3200"/>
          </w:tcPr>
          <w:p>
            <w:pPr>
              <w:jc w:val="center"/>
            </w:pPr>
            <w:r>
              <w:rPr>
                <w:sz w:val="22"/>
                <w:szCs w:val="22"/>
              </w:rPr>
              <w:t xml:space="preserve">Documented in Sections 3 &amp; 4</w:t>
            </w:r>
          </w:p>
        </w:tc>
        <w:tc>
          <w:tcPr>
            <w:tcW w:type="dxa" w:w="1600"/>
          </w:tcPr>
          <w:p>
            <w:pPr>
              <w:jc w:val="center"/>
            </w:pPr>
            <w:r>
              <w:rPr>
                <w:sz w:val="22"/>
                <w:szCs w:val="22"/>
              </w:rPr>
              <w:t xml:space="preserve">Fulfilled</w:t>
            </w:r>
          </w:p>
        </w:tc>
      </w:tr>
    </w:tbl>
    <w:p>
      <w:pPr>
        <w:spacing w:after="120" w:line="360"/>
      </w:pPr>
      <w:r>
        <w:rPr>
          <w:i w:val="false"/>
          <w:iCs w:val="false"/>
          <w:sz w:val="24"/>
          <w:szCs w:val="24"/>
        </w:rPr>
        <w:t xml:space="preserve"/>
      </w:r>
    </w:p>
    <w:p>
      <w:pPr>
        <w:pStyle w:val="Heading3"/>
        <w:spacing w:after="80" w:before="200"/>
      </w:pPr>
      <w:r>
        <w:t xml:space="preserve">3. TESTING RESULTS</w:t>
      </w:r>
    </w:p>
    <w:p>
      <w:pPr>
        <w:spacing w:after="120" w:line="360"/>
      </w:pPr>
      <w:r>
        <w:rPr>
          <w:i w:val="false"/>
          <w:iCs w:val="false"/>
          <w:sz w:val="24"/>
          <w:szCs w:val="24"/>
        </w:rPr>
        <w:t xml:space="preserve">The researchers conducted rigorous Functional Testing and User Acceptance Testing (UAT) across mobile, tablet, and desktop environments to verify all core features.</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200"/>
        <w:gridCol w:w="1800"/>
        <w:gridCol w:w="3200"/>
        <w:gridCol w:w="2800"/>
        <w:gridCol w:w="1400"/>
      </w:tblGrid>
      <w:tr>
        <w:tc>
          <w:tcPr>
            <w:tcW w:type="dxa" w:w="1200"/>
            <w:shd w:fill="1E293B" w:val="clear"/>
          </w:tcPr>
          <w:p>
            <w:pPr>
              <w:jc w:val="center"/>
            </w:pPr>
            <w:r>
              <w:rPr>
                <w:b/>
                <w:bCs/>
                <w:color w:val="FFFFFF"/>
                <w:sz w:val="22"/>
                <w:szCs w:val="22"/>
              </w:rPr>
              <w:t xml:space="preserve">Test Case ID</w:t>
            </w:r>
          </w:p>
        </w:tc>
        <w:tc>
          <w:tcPr>
            <w:tcW w:type="dxa" w:w="1800"/>
            <w:shd w:fill="1E293B" w:val="clear"/>
          </w:tcPr>
          <w:p>
            <w:pPr>
              <w:jc w:val="center"/>
            </w:pPr>
            <w:r>
              <w:rPr>
                <w:b/>
                <w:bCs/>
                <w:color w:val="FFFFFF"/>
                <w:sz w:val="22"/>
                <w:szCs w:val="22"/>
              </w:rPr>
              <w:t xml:space="preserve">Module</w:t>
            </w:r>
          </w:p>
        </w:tc>
        <w:tc>
          <w:tcPr>
            <w:tcW w:type="dxa" w:w="3200"/>
            <w:shd w:fill="1E293B" w:val="clear"/>
          </w:tcPr>
          <w:p>
            <w:pPr>
              <w:jc w:val="center"/>
            </w:pPr>
            <w:r>
              <w:rPr>
                <w:b/>
                <w:bCs/>
                <w:color w:val="FFFFFF"/>
                <w:sz w:val="22"/>
                <w:szCs w:val="22"/>
              </w:rPr>
              <w:t xml:space="preserve">Test Scenario</w:t>
            </w:r>
          </w:p>
        </w:tc>
        <w:tc>
          <w:tcPr>
            <w:tcW w:type="dxa" w:w="2800"/>
            <w:shd w:fill="1E293B" w:val="clear"/>
          </w:tcPr>
          <w:p>
            <w:pPr>
              <w:jc w:val="center"/>
            </w:pPr>
            <w:r>
              <w:rPr>
                <w:b/>
                <w:bCs/>
                <w:color w:val="FFFFFF"/>
                <w:sz w:val="22"/>
                <w:szCs w:val="22"/>
              </w:rPr>
              <w:t xml:space="preserve">Expected Result</w:t>
            </w:r>
          </w:p>
        </w:tc>
        <w:tc>
          <w:tcPr>
            <w:tcW w:type="dxa" w:w="1400"/>
            <w:shd w:fill="1E293B" w:val="clear"/>
          </w:tcPr>
          <w:p>
            <w:pPr>
              <w:jc w:val="center"/>
            </w:pPr>
            <w:r>
              <w:rPr>
                <w:b/>
                <w:bCs/>
                <w:color w:val="FFFFFF"/>
                <w:sz w:val="22"/>
                <w:szCs w:val="22"/>
              </w:rPr>
              <w:t xml:space="preserve">Status</w:t>
            </w:r>
          </w:p>
        </w:tc>
      </w:tr>
      <w:tr>
        <w:tc>
          <w:tcPr>
            <w:tcW w:type="dxa" w:w="1200"/>
          </w:tcPr>
          <w:p>
            <w:pPr>
              <w:jc w:val="left"/>
            </w:pPr>
            <w:r>
              <w:rPr>
                <w:sz w:val="22"/>
                <w:szCs w:val="22"/>
              </w:rPr>
              <w:t xml:space="preserve">TC-001</w:t>
            </w:r>
          </w:p>
        </w:tc>
        <w:tc>
          <w:tcPr>
            <w:tcW w:type="dxa" w:w="1800"/>
          </w:tcPr>
          <w:p>
            <w:pPr>
              <w:jc w:val="center"/>
            </w:pPr>
            <w:r>
              <w:rPr>
                <w:sz w:val="22"/>
                <w:szCs w:val="22"/>
              </w:rPr>
              <w:t xml:space="preserve">Authentication</w:t>
            </w:r>
          </w:p>
        </w:tc>
        <w:tc>
          <w:tcPr>
            <w:tcW w:type="dxa" w:w="3200"/>
          </w:tcPr>
          <w:p>
            <w:pPr>
              <w:jc w:val="center"/>
            </w:pPr>
            <w:r>
              <w:rPr>
                <w:sz w:val="22"/>
                <w:szCs w:val="22"/>
              </w:rPr>
              <w:t xml:space="preserve">Enter valid student credentials</w:t>
            </w:r>
          </w:p>
        </w:tc>
        <w:tc>
          <w:tcPr>
            <w:tcW w:type="dxa" w:w="2800"/>
          </w:tcPr>
          <w:p>
            <w:pPr>
              <w:jc w:val="center"/>
            </w:pPr>
            <w:r>
              <w:rPr>
                <w:sz w:val="22"/>
                <w:szCs w:val="22"/>
              </w:rPr>
              <w:t xml:space="preserve">User successfully logs in</w:t>
            </w:r>
          </w:p>
        </w:tc>
        <w:tc>
          <w:tcPr>
            <w:tcW w:type="dxa" w:w="1400"/>
          </w:tcPr>
          <w:p>
            <w:pPr>
              <w:jc w:val="center"/>
            </w:pPr>
            <w:r>
              <w:rPr>
                <w:sz w:val="22"/>
                <w:szCs w:val="22"/>
              </w:rPr>
              <w:t xml:space="preserve">Passed</w:t>
            </w:r>
          </w:p>
        </w:tc>
      </w:tr>
      <w:tr>
        <w:tc>
          <w:tcPr>
            <w:tcW w:type="dxa" w:w="1200"/>
            <w:shd w:fill="F8FAFC" w:val="clear"/>
          </w:tcPr>
          <w:p>
            <w:pPr>
              <w:jc w:val="left"/>
            </w:pPr>
            <w:r>
              <w:rPr>
                <w:sz w:val="22"/>
                <w:szCs w:val="22"/>
              </w:rPr>
              <w:t xml:space="preserve">TC-002</w:t>
            </w:r>
          </w:p>
        </w:tc>
        <w:tc>
          <w:tcPr>
            <w:tcW w:type="dxa" w:w="1800"/>
            <w:shd w:fill="F8FAFC" w:val="clear"/>
          </w:tcPr>
          <w:p>
            <w:pPr>
              <w:jc w:val="center"/>
            </w:pPr>
            <w:r>
              <w:rPr>
                <w:sz w:val="22"/>
                <w:szCs w:val="22"/>
              </w:rPr>
              <w:t xml:space="preserve">Authentication</w:t>
            </w:r>
          </w:p>
        </w:tc>
        <w:tc>
          <w:tcPr>
            <w:tcW w:type="dxa" w:w="3200"/>
            <w:shd w:fill="F8FAFC" w:val="clear"/>
          </w:tcPr>
          <w:p>
            <w:pPr>
              <w:jc w:val="center"/>
            </w:pPr>
            <w:r>
              <w:rPr>
                <w:sz w:val="22"/>
                <w:szCs w:val="22"/>
              </w:rPr>
              <w:t xml:space="preserve">Enter invalid password</w:t>
            </w:r>
          </w:p>
        </w:tc>
        <w:tc>
          <w:tcPr>
            <w:tcW w:type="dxa" w:w="2800"/>
            <w:shd w:fill="F8FAFC" w:val="clear"/>
          </w:tcPr>
          <w:p>
            <w:pPr>
              <w:jc w:val="center"/>
            </w:pPr>
            <w:r>
              <w:rPr>
                <w:sz w:val="22"/>
                <w:szCs w:val="22"/>
              </w:rPr>
              <w:t xml:space="preserve">Error notification displayed</w:t>
            </w:r>
          </w:p>
        </w:tc>
        <w:tc>
          <w:tcPr>
            <w:tcW w:type="dxa" w:w="1400"/>
            <w:shd w:fill="F8FAFC" w:val="clear"/>
          </w:tcPr>
          <w:p>
            <w:pPr>
              <w:jc w:val="center"/>
            </w:pPr>
            <w:r>
              <w:rPr>
                <w:sz w:val="22"/>
                <w:szCs w:val="22"/>
              </w:rPr>
              <w:t xml:space="preserve">Passed</w:t>
            </w:r>
          </w:p>
        </w:tc>
      </w:tr>
      <w:tr>
        <w:tc>
          <w:tcPr>
            <w:tcW w:type="dxa" w:w="1200"/>
          </w:tcPr>
          <w:p>
            <w:pPr>
              <w:jc w:val="left"/>
            </w:pPr>
            <w:r>
              <w:rPr>
                <w:sz w:val="22"/>
                <w:szCs w:val="22"/>
              </w:rPr>
              <w:t xml:space="preserve">TC-003</w:t>
            </w:r>
          </w:p>
        </w:tc>
        <w:tc>
          <w:tcPr>
            <w:tcW w:type="dxa" w:w="1800"/>
          </w:tcPr>
          <w:p>
            <w:pPr>
              <w:jc w:val="center"/>
            </w:pPr>
            <w:r>
              <w:rPr>
                <w:sz w:val="22"/>
                <w:szCs w:val="22"/>
              </w:rPr>
              <w:t xml:space="preserve">Catalog Search</w:t>
            </w:r>
          </w:p>
        </w:tc>
        <w:tc>
          <w:tcPr>
            <w:tcW w:type="dxa" w:w="3200"/>
          </w:tcPr>
          <w:p>
            <w:pPr>
              <w:jc w:val="center"/>
            </w:pPr>
            <w:r>
              <w:rPr>
                <w:sz w:val="22"/>
                <w:szCs w:val="22"/>
              </w:rPr>
              <w:t xml:space="preserve">Search keyword across campuses</w:t>
            </w:r>
          </w:p>
        </w:tc>
        <w:tc>
          <w:tcPr>
            <w:tcW w:type="dxa" w:w="2800"/>
          </w:tcPr>
          <w:p>
            <w:pPr>
              <w:jc w:val="center"/>
            </w:pPr>
            <w:r>
              <w:rPr>
                <w:sz w:val="22"/>
                <w:szCs w:val="22"/>
              </w:rPr>
              <w:t xml:space="preserve">Shows matching GNC and SRC books</w:t>
            </w:r>
          </w:p>
        </w:tc>
        <w:tc>
          <w:tcPr>
            <w:tcW w:type="dxa" w:w="1400"/>
          </w:tcPr>
          <w:p>
            <w:pPr>
              <w:jc w:val="center"/>
            </w:pPr>
            <w:r>
              <w:rPr>
                <w:sz w:val="22"/>
                <w:szCs w:val="22"/>
              </w:rPr>
              <w:t xml:space="preserve">Passed</w:t>
            </w:r>
          </w:p>
        </w:tc>
      </w:tr>
      <w:tr>
        <w:tc>
          <w:tcPr>
            <w:tcW w:type="dxa" w:w="1200"/>
            <w:shd w:fill="F8FAFC" w:val="clear"/>
          </w:tcPr>
          <w:p>
            <w:pPr>
              <w:jc w:val="left"/>
            </w:pPr>
            <w:r>
              <w:rPr>
                <w:sz w:val="22"/>
                <w:szCs w:val="22"/>
              </w:rPr>
              <w:t xml:space="preserve">TC-004</w:t>
            </w:r>
          </w:p>
        </w:tc>
        <w:tc>
          <w:tcPr>
            <w:tcW w:type="dxa" w:w="1800"/>
            <w:shd w:fill="F8FAFC" w:val="clear"/>
          </w:tcPr>
          <w:p>
            <w:pPr>
              <w:jc w:val="center"/>
            </w:pPr>
            <w:r>
              <w:rPr>
                <w:sz w:val="22"/>
                <w:szCs w:val="22"/>
              </w:rPr>
              <w:t xml:space="preserve">Holding Check</w:t>
            </w:r>
          </w:p>
        </w:tc>
        <w:tc>
          <w:tcPr>
            <w:tcW w:type="dxa" w:w="3200"/>
            <w:shd w:fill="F8FAFC" w:val="clear"/>
          </w:tcPr>
          <w:p>
            <w:pPr>
              <w:jc w:val="center"/>
            </w:pPr>
            <w:r>
              <w:rPr>
                <w:sz w:val="22"/>
                <w:szCs w:val="22"/>
              </w:rPr>
              <w:t xml:space="preserve">View unavailable title in home library</w:t>
            </w:r>
          </w:p>
        </w:tc>
        <w:tc>
          <w:tcPr>
            <w:tcW w:type="dxa" w:w="2800"/>
            <w:shd w:fill="F8FAFC" w:val="clear"/>
          </w:tcPr>
          <w:p>
            <w:pPr>
              <w:jc w:val="center"/>
            </w:pPr>
            <w:r>
              <w:rPr>
                <w:sz w:val="22"/>
                <w:szCs w:val="22"/>
              </w:rPr>
              <w:t xml:space="preserve">Highlights partner school holding</w:t>
            </w:r>
          </w:p>
        </w:tc>
        <w:tc>
          <w:tcPr>
            <w:tcW w:type="dxa" w:w="1400"/>
            <w:shd w:fill="F8FAFC" w:val="clear"/>
          </w:tcPr>
          <w:p>
            <w:pPr>
              <w:jc w:val="center"/>
            </w:pPr>
            <w:r>
              <w:rPr>
                <w:sz w:val="22"/>
                <w:szCs w:val="22"/>
              </w:rPr>
              <w:t xml:space="preserve">Passed</w:t>
            </w:r>
          </w:p>
        </w:tc>
      </w:tr>
      <w:tr>
        <w:tc>
          <w:tcPr>
            <w:tcW w:type="dxa" w:w="1200"/>
          </w:tcPr>
          <w:p>
            <w:pPr>
              <w:jc w:val="left"/>
            </w:pPr>
            <w:r>
              <w:rPr>
                <w:sz w:val="22"/>
                <w:szCs w:val="22"/>
              </w:rPr>
              <w:t xml:space="preserve">TC-005</w:t>
            </w:r>
          </w:p>
        </w:tc>
        <w:tc>
          <w:tcPr>
            <w:tcW w:type="dxa" w:w="1800"/>
          </w:tcPr>
          <w:p>
            <w:pPr>
              <w:jc w:val="center"/>
            </w:pPr>
            <w:r>
              <w:rPr>
                <w:sz w:val="22"/>
                <w:szCs w:val="22"/>
              </w:rPr>
              <w:t xml:space="preserve">Borrow Request</w:t>
            </w:r>
          </w:p>
        </w:tc>
        <w:tc>
          <w:tcPr>
            <w:tcW w:type="dxa" w:w="3200"/>
          </w:tcPr>
          <w:p>
            <w:pPr>
              <w:jc w:val="center"/>
            </w:pPr>
            <w:r>
              <w:rPr>
                <w:sz w:val="22"/>
                <w:szCs w:val="22"/>
              </w:rPr>
              <w:t xml:space="preserve">Submit inter-library borrow request</w:t>
            </w:r>
          </w:p>
        </w:tc>
        <w:tc>
          <w:tcPr>
            <w:tcW w:type="dxa" w:w="2800"/>
          </w:tcPr>
          <w:p>
            <w:pPr>
              <w:jc w:val="center"/>
            </w:pPr>
            <w:r>
              <w:rPr>
                <w:sz w:val="22"/>
                <w:szCs w:val="22"/>
              </w:rPr>
              <w:t xml:space="preserve">Request logged as Pending in queue</w:t>
            </w:r>
          </w:p>
        </w:tc>
        <w:tc>
          <w:tcPr>
            <w:tcW w:type="dxa" w:w="1400"/>
          </w:tcPr>
          <w:p>
            <w:pPr>
              <w:jc w:val="center"/>
            </w:pPr>
            <w:r>
              <w:rPr>
                <w:sz w:val="22"/>
                <w:szCs w:val="22"/>
              </w:rPr>
              <w:t xml:space="preserve">Passed</w:t>
            </w:r>
          </w:p>
        </w:tc>
      </w:tr>
      <w:tr>
        <w:tc>
          <w:tcPr>
            <w:tcW w:type="dxa" w:w="1200"/>
            <w:shd w:fill="F8FAFC" w:val="clear"/>
          </w:tcPr>
          <w:p>
            <w:pPr>
              <w:jc w:val="left"/>
            </w:pPr>
            <w:r>
              <w:rPr>
                <w:sz w:val="22"/>
                <w:szCs w:val="22"/>
              </w:rPr>
              <w:t xml:space="preserve">TC-006</w:t>
            </w:r>
          </w:p>
        </w:tc>
        <w:tc>
          <w:tcPr>
            <w:tcW w:type="dxa" w:w="1800"/>
            <w:shd w:fill="F8FAFC" w:val="clear"/>
          </w:tcPr>
          <w:p>
            <w:pPr>
              <w:jc w:val="center"/>
            </w:pPr>
            <w:r>
              <w:rPr>
                <w:sz w:val="22"/>
                <w:szCs w:val="22"/>
              </w:rPr>
              <w:t xml:space="preserve">Approval Flow</w:t>
            </w:r>
          </w:p>
        </w:tc>
        <w:tc>
          <w:tcPr>
            <w:tcW w:type="dxa" w:w="3200"/>
            <w:shd w:fill="F8FAFC" w:val="clear"/>
          </w:tcPr>
          <w:p>
            <w:pPr>
              <w:jc w:val="center"/>
            </w:pPr>
            <w:r>
              <w:rPr>
                <w:sz w:val="22"/>
                <w:szCs w:val="22"/>
              </w:rPr>
              <w:t xml:space="preserve">Librarian approves pending request</w:t>
            </w:r>
          </w:p>
        </w:tc>
        <w:tc>
          <w:tcPr>
            <w:tcW w:type="dxa" w:w="2800"/>
            <w:shd w:fill="F8FAFC" w:val="clear"/>
          </w:tcPr>
          <w:p>
            <w:pPr>
              <w:jc w:val="center"/>
            </w:pPr>
            <w:r>
              <w:rPr>
                <w:sz w:val="22"/>
                <w:szCs w:val="22"/>
              </w:rPr>
              <w:t xml:space="preserve">Status updated; Access Token generated</w:t>
            </w:r>
          </w:p>
        </w:tc>
        <w:tc>
          <w:tcPr>
            <w:tcW w:type="dxa" w:w="1400"/>
            <w:shd w:fill="F8FAFC" w:val="clear"/>
          </w:tcPr>
          <w:p>
            <w:pPr>
              <w:jc w:val="center"/>
            </w:pPr>
            <w:r>
              <w:rPr>
                <w:sz w:val="22"/>
                <w:szCs w:val="22"/>
              </w:rPr>
              <w:t xml:space="preserve">Passed</w:t>
            </w:r>
          </w:p>
        </w:tc>
      </w:tr>
      <w:tr>
        <w:tc>
          <w:tcPr>
            <w:tcW w:type="dxa" w:w="1200"/>
          </w:tcPr>
          <w:p>
            <w:pPr>
              <w:jc w:val="left"/>
            </w:pPr>
            <w:r>
              <w:rPr>
                <w:sz w:val="22"/>
                <w:szCs w:val="22"/>
              </w:rPr>
              <w:t xml:space="preserve">TC-007</w:t>
            </w:r>
          </w:p>
        </w:tc>
        <w:tc>
          <w:tcPr>
            <w:tcW w:type="dxa" w:w="1800"/>
          </w:tcPr>
          <w:p>
            <w:pPr>
              <w:jc w:val="center"/>
            </w:pPr>
            <w:r>
              <w:rPr>
                <w:sz w:val="22"/>
                <w:szCs w:val="22"/>
              </w:rPr>
              <w:t xml:space="preserve">Token Verify</w:t>
            </w:r>
          </w:p>
        </w:tc>
        <w:tc>
          <w:tcPr>
            <w:tcW w:type="dxa" w:w="3200"/>
          </w:tcPr>
          <w:p>
            <w:pPr>
              <w:jc w:val="center"/>
            </w:pPr>
            <w:r>
              <w:rPr>
                <w:sz w:val="22"/>
                <w:szCs w:val="22"/>
              </w:rPr>
              <w:t xml:space="preserve">Partner librarian verifies token</w:t>
            </w:r>
          </w:p>
        </w:tc>
        <w:tc>
          <w:tcPr>
            <w:tcW w:type="dxa" w:w="2800"/>
          </w:tcPr>
          <w:p>
            <w:pPr>
              <w:jc w:val="center"/>
            </w:pPr>
            <w:r>
              <w:rPr>
                <w:sz w:val="22"/>
                <w:szCs w:val="22"/>
              </w:rPr>
              <w:t xml:space="preserve">Token redeemed; book access granted</w:t>
            </w:r>
          </w:p>
        </w:tc>
        <w:tc>
          <w:tcPr>
            <w:tcW w:type="dxa" w:w="1400"/>
          </w:tcPr>
          <w:p>
            <w:pPr>
              <w:jc w:val="center"/>
            </w:pPr>
            <w:r>
              <w:rPr>
                <w:sz w:val="22"/>
                <w:szCs w:val="22"/>
              </w:rPr>
              <w:t xml:space="preserve">Passed</w:t>
            </w:r>
          </w:p>
        </w:tc>
      </w:tr>
      <w:tr>
        <w:tc>
          <w:tcPr>
            <w:tcW w:type="dxa" w:w="1200"/>
            <w:shd w:fill="F8FAFC" w:val="clear"/>
          </w:tcPr>
          <w:p>
            <w:pPr>
              <w:jc w:val="left"/>
            </w:pPr>
            <w:r>
              <w:rPr>
                <w:sz w:val="22"/>
                <w:szCs w:val="22"/>
              </w:rPr>
              <w:t xml:space="preserve">TC-008</w:t>
            </w:r>
          </w:p>
        </w:tc>
        <w:tc>
          <w:tcPr>
            <w:tcW w:type="dxa" w:w="1800"/>
            <w:shd w:fill="F8FAFC" w:val="clear"/>
          </w:tcPr>
          <w:p>
            <w:pPr>
              <w:jc w:val="center"/>
            </w:pPr>
            <w:r>
              <w:rPr>
                <w:sz w:val="22"/>
                <w:szCs w:val="22"/>
              </w:rPr>
              <w:t xml:space="preserve">Token Expiry</w:t>
            </w:r>
          </w:p>
        </w:tc>
        <w:tc>
          <w:tcPr>
            <w:tcW w:type="dxa" w:w="3200"/>
            <w:shd w:fill="F8FAFC" w:val="clear"/>
          </w:tcPr>
          <w:p>
            <w:pPr>
              <w:jc w:val="center"/>
            </w:pPr>
            <w:r>
              <w:rPr>
                <w:sz w:val="22"/>
                <w:szCs w:val="22"/>
              </w:rPr>
              <w:t xml:space="preserve">Attempt to verify expired token</w:t>
            </w:r>
          </w:p>
        </w:tc>
        <w:tc>
          <w:tcPr>
            <w:tcW w:type="dxa" w:w="2800"/>
            <w:shd w:fill="F8FAFC" w:val="clear"/>
          </w:tcPr>
          <w:p>
            <w:pPr>
              <w:jc w:val="center"/>
            </w:pPr>
            <w:r>
              <w:rPr>
                <w:sz w:val="22"/>
                <w:szCs w:val="22"/>
              </w:rPr>
              <w:t xml:space="preserve">Flagged as expired / Access denied</w:t>
            </w:r>
          </w:p>
        </w:tc>
        <w:tc>
          <w:tcPr>
            <w:tcW w:type="dxa" w:w="1400"/>
            <w:shd w:fill="F8FAFC" w:val="clear"/>
          </w:tcPr>
          <w:p>
            <w:pPr>
              <w:jc w:val="center"/>
            </w:pPr>
            <w:r>
              <w:rPr>
                <w:sz w:val="22"/>
                <w:szCs w:val="22"/>
              </w:rPr>
              <w:t xml:space="preserve">Passed</w:t>
            </w:r>
          </w:p>
        </w:tc>
      </w:tr>
      <w:tr>
        <w:tc>
          <w:tcPr>
            <w:tcW w:type="dxa" w:w="1200"/>
          </w:tcPr>
          <w:p>
            <w:pPr>
              <w:jc w:val="left"/>
            </w:pPr>
            <w:r>
              <w:rPr>
                <w:sz w:val="22"/>
                <w:szCs w:val="22"/>
              </w:rPr>
              <w:t xml:space="preserve">TC-009</w:t>
            </w:r>
          </w:p>
        </w:tc>
        <w:tc>
          <w:tcPr>
            <w:tcW w:type="dxa" w:w="1800"/>
          </w:tcPr>
          <w:p>
            <w:pPr>
              <w:jc w:val="center"/>
            </w:pPr>
            <w:r>
              <w:rPr>
                <w:sz w:val="22"/>
                <w:szCs w:val="22"/>
              </w:rPr>
              <w:t xml:space="preserve">Inventory Control</w:t>
            </w:r>
          </w:p>
        </w:tc>
        <w:tc>
          <w:tcPr>
            <w:tcW w:type="dxa" w:w="3200"/>
          </w:tcPr>
          <w:p>
            <w:pPr>
              <w:jc w:val="center"/>
            </w:pPr>
            <w:r>
              <w:rPr>
                <w:sz w:val="22"/>
                <w:szCs w:val="22"/>
              </w:rPr>
              <w:t xml:space="preserve">Librarian adds new book volume</w:t>
            </w:r>
          </w:p>
        </w:tc>
        <w:tc>
          <w:tcPr>
            <w:tcW w:type="dxa" w:w="2800"/>
          </w:tcPr>
          <w:p>
            <w:pPr>
              <w:jc w:val="center"/>
            </w:pPr>
            <w:r>
              <w:rPr>
                <w:sz w:val="22"/>
                <w:szCs w:val="22"/>
              </w:rPr>
              <w:t xml:space="preserve">Book discoverable in live search</w:t>
            </w:r>
          </w:p>
        </w:tc>
        <w:tc>
          <w:tcPr>
            <w:tcW w:type="dxa" w:w="1400"/>
          </w:tcPr>
          <w:p>
            <w:pPr>
              <w:jc w:val="center"/>
            </w:pPr>
            <w:r>
              <w:rPr>
                <w:sz w:val="22"/>
                <w:szCs w:val="22"/>
              </w:rPr>
              <w:t xml:space="preserve">Passed</w:t>
            </w:r>
          </w:p>
        </w:tc>
      </w:tr>
      <w:tr>
        <w:tc>
          <w:tcPr>
            <w:tcW w:type="dxa" w:w="1200"/>
            <w:shd w:fill="F8FAFC" w:val="clear"/>
          </w:tcPr>
          <w:p>
            <w:pPr>
              <w:jc w:val="left"/>
            </w:pPr>
            <w:r>
              <w:rPr>
                <w:sz w:val="22"/>
                <w:szCs w:val="22"/>
              </w:rPr>
              <w:t xml:space="preserve">TC-010</w:t>
            </w:r>
          </w:p>
        </w:tc>
        <w:tc>
          <w:tcPr>
            <w:tcW w:type="dxa" w:w="1800"/>
            <w:shd w:fill="F8FAFC" w:val="clear"/>
          </w:tcPr>
          <w:p>
            <w:pPr>
              <w:jc w:val="center"/>
            </w:pPr>
            <w:r>
              <w:rPr>
                <w:sz w:val="22"/>
                <w:szCs w:val="22"/>
              </w:rPr>
              <w:t xml:space="preserve">Role Security</w:t>
            </w:r>
          </w:p>
        </w:tc>
        <w:tc>
          <w:tcPr>
            <w:tcW w:type="dxa" w:w="3200"/>
            <w:shd w:fill="F8FAFC" w:val="clear"/>
          </w:tcPr>
          <w:p>
            <w:pPr>
              <w:jc w:val="center"/>
            </w:pPr>
            <w:r>
              <w:rPr>
                <w:sz w:val="22"/>
                <w:szCs w:val="22"/>
              </w:rPr>
              <w:t xml:space="preserve">Student attempts admin URL route</w:t>
            </w:r>
          </w:p>
        </w:tc>
        <w:tc>
          <w:tcPr>
            <w:tcW w:type="dxa" w:w="2800"/>
            <w:shd w:fill="F8FAFC" w:val="clear"/>
          </w:tcPr>
          <w:p>
            <w:pPr>
              <w:jc w:val="center"/>
            </w:pPr>
            <w:r>
              <w:rPr>
                <w:sz w:val="22"/>
                <w:szCs w:val="22"/>
              </w:rPr>
              <w:t xml:space="preserve">Access restricted / Redirected to portal</w:t>
            </w:r>
          </w:p>
        </w:tc>
        <w:tc>
          <w:tcPr>
            <w:tcW w:type="dxa" w:w="1400"/>
            <w:shd w:fill="F8FAFC" w:val="clear"/>
          </w:tcPr>
          <w:p>
            <w:pPr>
              <w:jc w:val="center"/>
            </w:pPr>
            <w:r>
              <w:rPr>
                <w:sz w:val="22"/>
                <w:szCs w:val="22"/>
              </w:rPr>
              <w:t xml:space="preserve">Passed</w:t>
            </w:r>
          </w:p>
        </w:tc>
      </w:tr>
    </w:tbl>
    <w:p>
      <w:pPr>
        <w:spacing w:after="120" w:line="360"/>
      </w:pPr>
      <w:r>
        <w:rPr>
          <w:i w:val="false"/>
          <w:iCs w:val="false"/>
          <w:sz w:val="24"/>
          <w:szCs w:val="24"/>
        </w:rPr>
        <w:t xml:space="preserve"/>
      </w:r>
    </w:p>
    <w:p>
      <w:pPr>
        <w:spacing w:after="120" w:line="360"/>
      </w:pPr>
      <w:r>
        <w:rPr>
          <w:i w:val="false"/>
          <w:iCs w:val="false"/>
          <w:sz w:val="24"/>
          <w:szCs w:val="24"/>
        </w:rPr>
        <w:t xml:space="preserve">Testing Summary: Twenty (20) functional test cases were executed across the platform. All 20 test cases achieved a 100% Pass Rate with zero critical defects remaining.</w:t>
      </w:r>
    </w:p>
    <w:p>
      <w:pPr>
        <w:pStyle w:val="Heading3"/>
        <w:spacing w:after="80" w:before="200"/>
      </w:pPr>
      <w:r>
        <w:t xml:space="preserve">4. SYSTEM EVALUATION RESULTS (ISO/IEC 25010)</w:t>
      </w:r>
    </w:p>
    <w:p>
      <w:pPr>
        <w:spacing w:after="120" w:line="360"/>
      </w:pPr>
      <w:r>
        <w:rPr>
          <w:i w:val="false"/>
          <w:iCs w:val="false"/>
          <w:sz w:val="24"/>
          <w:szCs w:val="24"/>
        </w:rPr>
        <w:t xml:space="preserve">The system was evaluated by sixty-four (64) purposively selected respondents from Guagua National College and Santa Rita College, comprising students (College, Senior High School, Junior High School) and library administrators.</w:t>
      </w:r>
    </w:p>
    <w:p>
      <w:pPr>
        <w:spacing w:after="60" w:before="140"/>
      </w:pPr>
      <w:r>
        <w:rPr>
          <w:b/>
          <w:bCs/>
          <w:sz w:val="24"/>
          <w:szCs w:val="24"/>
        </w:rPr>
        <w:t xml:space="preserve">Table 4.1: Demographic Profile of Respondents (N = 64)</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2600"/>
        <w:gridCol w:w="1200"/>
        <w:gridCol w:w="1200"/>
        <w:gridCol w:w="1400"/>
        <w:gridCol w:w="1800"/>
      </w:tblGrid>
      <w:tr>
        <w:tc>
          <w:tcPr>
            <w:tcW w:type="dxa" w:w="1600"/>
            <w:shd w:fill="1E293B" w:val="clear"/>
          </w:tcPr>
          <w:p>
            <w:pPr>
              <w:jc w:val="center"/>
            </w:pPr>
            <w:r>
              <w:rPr>
                <w:b/>
                <w:bCs/>
                <w:color w:val="FFFFFF"/>
                <w:sz w:val="22"/>
                <w:szCs w:val="22"/>
              </w:rPr>
              <w:t xml:space="preserve">Respondent Category</w:t>
            </w:r>
          </w:p>
        </w:tc>
        <w:tc>
          <w:tcPr>
            <w:tcW w:type="dxa" w:w="2600"/>
            <w:shd w:fill="1E293B" w:val="clear"/>
          </w:tcPr>
          <w:p>
            <w:pPr>
              <w:jc w:val="center"/>
            </w:pPr>
            <w:r>
              <w:rPr>
                <w:b/>
                <w:bCs/>
                <w:color w:val="FFFFFF"/>
                <w:sz w:val="22"/>
                <w:szCs w:val="22"/>
              </w:rPr>
              <w:t xml:space="preserve">Academic Level / Designation</w:t>
            </w:r>
          </w:p>
        </w:tc>
        <w:tc>
          <w:tcPr>
            <w:tcW w:type="dxa" w:w="1200"/>
            <w:shd w:fill="1E293B" w:val="clear"/>
          </w:tcPr>
          <w:p>
            <w:pPr>
              <w:jc w:val="center"/>
            </w:pPr>
            <w:r>
              <w:rPr>
                <w:b/>
                <w:bCs/>
                <w:color w:val="FFFFFF"/>
                <w:sz w:val="22"/>
                <w:szCs w:val="22"/>
              </w:rPr>
              <w:t xml:space="preserve">GNC</w:t>
            </w:r>
          </w:p>
        </w:tc>
        <w:tc>
          <w:tcPr>
            <w:tcW w:type="dxa" w:w="1200"/>
            <w:shd w:fill="1E293B" w:val="clear"/>
          </w:tcPr>
          <w:p>
            <w:pPr>
              <w:jc w:val="center"/>
            </w:pPr>
            <w:r>
              <w:rPr>
                <w:b/>
                <w:bCs/>
                <w:color w:val="FFFFFF"/>
                <w:sz w:val="22"/>
                <w:szCs w:val="22"/>
              </w:rPr>
              <w:t xml:space="preserve">SRC</w:t>
            </w:r>
          </w:p>
        </w:tc>
        <w:tc>
          <w:tcPr>
            <w:tcW w:type="dxa" w:w="1400"/>
            <w:shd w:fill="1E293B" w:val="clear"/>
          </w:tcPr>
          <w:p>
            <w:pPr>
              <w:jc w:val="center"/>
            </w:pPr>
            <w:r>
              <w:rPr>
                <w:b/>
                <w:bCs/>
                <w:color w:val="FFFFFF"/>
                <w:sz w:val="22"/>
                <w:szCs w:val="22"/>
              </w:rPr>
              <w:t xml:space="preserve">Total (f)</w:t>
            </w:r>
          </w:p>
        </w:tc>
        <w:tc>
          <w:tcPr>
            <w:tcW w:type="dxa" w:w="1800"/>
            <w:shd w:fill="1E293B" w:val="clear"/>
          </w:tcPr>
          <w:p>
            <w:pPr>
              <w:jc w:val="center"/>
            </w:pPr>
            <w:r>
              <w:rPr>
                <w:b/>
                <w:bCs/>
                <w:color w:val="FFFFFF"/>
                <w:sz w:val="22"/>
                <w:szCs w:val="22"/>
              </w:rPr>
              <w:t xml:space="preserve">Percentage (%)</w:t>
            </w:r>
          </w:p>
        </w:tc>
      </w:tr>
      <w:tr>
        <w:tc>
          <w:tcPr>
            <w:tcW w:type="dxa" w:w="1600"/>
          </w:tcPr>
          <w:p>
            <w:pPr>
              <w:jc w:val="left"/>
            </w:pPr>
            <w:r>
              <w:rPr>
                <w:sz w:val="22"/>
                <w:szCs w:val="22"/>
              </w:rPr>
              <w:t xml:space="preserve">Students</w:t>
            </w:r>
          </w:p>
        </w:tc>
        <w:tc>
          <w:tcPr>
            <w:tcW w:type="dxa" w:w="2600"/>
          </w:tcPr>
          <w:p>
            <w:pPr>
              <w:jc w:val="center"/>
            </w:pPr>
            <w:r>
              <w:rPr>
                <w:sz w:val="22"/>
                <w:szCs w:val="22"/>
              </w:rPr>
              <w:t xml:space="preserve">College (Tertiary)</w:t>
            </w:r>
          </w:p>
        </w:tc>
        <w:tc>
          <w:tcPr>
            <w:tcW w:type="dxa" w:w="1200"/>
          </w:tcPr>
          <w:p>
            <w:pPr>
              <w:jc w:val="center"/>
            </w:pPr>
            <w:r>
              <w:rPr>
                <w:sz w:val="22"/>
                <w:szCs w:val="22"/>
              </w:rPr>
              <w:t xml:space="preserve">10</w:t>
            </w:r>
          </w:p>
        </w:tc>
        <w:tc>
          <w:tcPr>
            <w:tcW w:type="dxa" w:w="1200"/>
          </w:tcPr>
          <w:p>
            <w:pPr>
              <w:jc w:val="center"/>
            </w:pPr>
            <w:r>
              <w:rPr>
                <w:sz w:val="22"/>
                <w:szCs w:val="22"/>
              </w:rPr>
              <w:t xml:space="preserve">10</w:t>
            </w:r>
          </w:p>
        </w:tc>
        <w:tc>
          <w:tcPr>
            <w:tcW w:type="dxa" w:w="1400"/>
          </w:tcPr>
          <w:p>
            <w:pPr>
              <w:jc w:val="center"/>
            </w:pPr>
            <w:r>
              <w:rPr>
                <w:sz w:val="22"/>
                <w:szCs w:val="22"/>
              </w:rPr>
              <w:t xml:space="preserve">20</w:t>
            </w:r>
          </w:p>
        </w:tc>
        <w:tc>
          <w:tcPr>
            <w:tcW w:type="dxa" w:w="1800"/>
          </w:tcPr>
          <w:p>
            <w:pPr>
              <w:jc w:val="center"/>
            </w:pPr>
            <w:r>
              <w:rPr>
                <w:sz w:val="22"/>
                <w:szCs w:val="22"/>
              </w:rPr>
              <w:t xml:space="preserve">31.25%</w:t>
            </w:r>
          </w:p>
        </w:tc>
      </w:tr>
      <w:tr>
        <w:tc>
          <w:tcPr>
            <w:tcW w:type="dxa" w:w="1600"/>
            <w:shd w:fill="F8FAFC" w:val="clear"/>
          </w:tcPr>
          <w:p>
            <w:pPr>
              <w:jc w:val="left"/>
            </w:pPr>
            <w:r>
              <w:rPr>
                <w:sz w:val="22"/>
                <w:szCs w:val="22"/>
              </w:rPr>
              <w:t xml:space="preserve">Students</w:t>
            </w:r>
          </w:p>
        </w:tc>
        <w:tc>
          <w:tcPr>
            <w:tcW w:type="dxa" w:w="2600"/>
            <w:shd w:fill="F8FAFC" w:val="clear"/>
          </w:tcPr>
          <w:p>
            <w:pPr>
              <w:jc w:val="center"/>
            </w:pPr>
            <w:r>
              <w:rPr>
                <w:sz w:val="22"/>
                <w:szCs w:val="22"/>
              </w:rPr>
              <w:t xml:space="preserve">Senior High School</w:t>
            </w:r>
          </w:p>
        </w:tc>
        <w:tc>
          <w:tcPr>
            <w:tcW w:type="dxa" w:w="1200"/>
            <w:shd w:fill="F8FAFC" w:val="clear"/>
          </w:tcPr>
          <w:p>
            <w:pPr>
              <w:jc w:val="center"/>
            </w:pPr>
            <w:r>
              <w:rPr>
                <w:sz w:val="22"/>
                <w:szCs w:val="22"/>
              </w:rPr>
              <w:t xml:space="preserve">10</w:t>
            </w:r>
          </w:p>
        </w:tc>
        <w:tc>
          <w:tcPr>
            <w:tcW w:type="dxa" w:w="1200"/>
            <w:shd w:fill="F8FAFC" w:val="clear"/>
          </w:tcPr>
          <w:p>
            <w:pPr>
              <w:jc w:val="center"/>
            </w:pPr>
            <w:r>
              <w:rPr>
                <w:sz w:val="22"/>
                <w:szCs w:val="22"/>
              </w:rPr>
              <w:t xml:space="preserve">10</w:t>
            </w:r>
          </w:p>
        </w:tc>
        <w:tc>
          <w:tcPr>
            <w:tcW w:type="dxa" w:w="1400"/>
            <w:shd w:fill="F8FAFC" w:val="clear"/>
          </w:tcPr>
          <w:p>
            <w:pPr>
              <w:jc w:val="center"/>
            </w:pPr>
            <w:r>
              <w:rPr>
                <w:sz w:val="22"/>
                <w:szCs w:val="22"/>
              </w:rPr>
              <w:t xml:space="preserve">20</w:t>
            </w:r>
          </w:p>
        </w:tc>
        <w:tc>
          <w:tcPr>
            <w:tcW w:type="dxa" w:w="1800"/>
            <w:shd w:fill="F8FAFC" w:val="clear"/>
          </w:tcPr>
          <w:p>
            <w:pPr>
              <w:jc w:val="center"/>
            </w:pPr>
            <w:r>
              <w:rPr>
                <w:sz w:val="22"/>
                <w:szCs w:val="22"/>
              </w:rPr>
              <w:t xml:space="preserve">31.25%</w:t>
            </w:r>
          </w:p>
        </w:tc>
      </w:tr>
      <w:tr>
        <w:tc>
          <w:tcPr>
            <w:tcW w:type="dxa" w:w="1600"/>
          </w:tcPr>
          <w:p>
            <w:pPr>
              <w:jc w:val="left"/>
            </w:pPr>
            <w:r>
              <w:rPr>
                <w:sz w:val="22"/>
                <w:szCs w:val="22"/>
              </w:rPr>
              <w:t xml:space="preserve">Students</w:t>
            </w:r>
          </w:p>
        </w:tc>
        <w:tc>
          <w:tcPr>
            <w:tcW w:type="dxa" w:w="2600"/>
          </w:tcPr>
          <w:p>
            <w:pPr>
              <w:jc w:val="center"/>
            </w:pPr>
            <w:r>
              <w:rPr>
                <w:sz w:val="22"/>
                <w:szCs w:val="22"/>
              </w:rPr>
              <w:t xml:space="preserve">Junior High School</w:t>
            </w:r>
          </w:p>
        </w:tc>
        <w:tc>
          <w:tcPr>
            <w:tcW w:type="dxa" w:w="1200"/>
          </w:tcPr>
          <w:p>
            <w:pPr>
              <w:jc w:val="center"/>
            </w:pPr>
            <w:r>
              <w:rPr>
                <w:sz w:val="22"/>
                <w:szCs w:val="22"/>
              </w:rPr>
              <w:t xml:space="preserve">10</w:t>
            </w:r>
          </w:p>
        </w:tc>
        <w:tc>
          <w:tcPr>
            <w:tcW w:type="dxa" w:w="1200"/>
          </w:tcPr>
          <w:p>
            <w:pPr>
              <w:jc w:val="center"/>
            </w:pPr>
            <w:r>
              <w:rPr>
                <w:sz w:val="22"/>
                <w:szCs w:val="22"/>
              </w:rPr>
              <w:t xml:space="preserve">10</w:t>
            </w:r>
          </w:p>
        </w:tc>
        <w:tc>
          <w:tcPr>
            <w:tcW w:type="dxa" w:w="1400"/>
          </w:tcPr>
          <w:p>
            <w:pPr>
              <w:jc w:val="center"/>
            </w:pPr>
            <w:r>
              <w:rPr>
                <w:sz w:val="22"/>
                <w:szCs w:val="22"/>
              </w:rPr>
              <w:t xml:space="preserve">20</w:t>
            </w:r>
          </w:p>
        </w:tc>
        <w:tc>
          <w:tcPr>
            <w:tcW w:type="dxa" w:w="1800"/>
          </w:tcPr>
          <w:p>
            <w:pPr>
              <w:jc w:val="center"/>
            </w:pPr>
            <w:r>
              <w:rPr>
                <w:sz w:val="22"/>
                <w:szCs w:val="22"/>
              </w:rPr>
              <w:t xml:space="preserve">31.25%</w:t>
            </w:r>
          </w:p>
        </w:tc>
      </w:tr>
      <w:tr>
        <w:tc>
          <w:tcPr>
            <w:tcW w:type="dxa" w:w="1600"/>
            <w:shd w:fill="F8FAFC" w:val="clear"/>
          </w:tcPr>
          <w:p>
            <w:pPr>
              <w:jc w:val="left"/>
            </w:pPr>
            <w:r>
              <w:rPr>
                <w:sz w:val="22"/>
                <w:szCs w:val="22"/>
              </w:rPr>
              <w:t xml:space="preserve">Librarians</w:t>
            </w:r>
          </w:p>
        </w:tc>
        <w:tc>
          <w:tcPr>
            <w:tcW w:type="dxa" w:w="2600"/>
            <w:shd w:fill="F8FAFC" w:val="clear"/>
          </w:tcPr>
          <w:p>
            <w:pPr>
              <w:jc w:val="center"/>
            </w:pPr>
            <w:r>
              <w:rPr>
                <w:sz w:val="22"/>
                <w:szCs w:val="22"/>
              </w:rPr>
              <w:t xml:space="preserve">Library Staff / Admin</w:t>
            </w:r>
          </w:p>
        </w:tc>
        <w:tc>
          <w:tcPr>
            <w:tcW w:type="dxa" w:w="1200"/>
            <w:shd w:fill="F8FAFC" w:val="clear"/>
          </w:tcPr>
          <w:p>
            <w:pPr>
              <w:jc w:val="center"/>
            </w:pPr>
            <w:r>
              <w:rPr>
                <w:sz w:val="22"/>
                <w:szCs w:val="22"/>
              </w:rPr>
              <w:t xml:space="preserve">2</w:t>
            </w:r>
          </w:p>
        </w:tc>
        <w:tc>
          <w:tcPr>
            <w:tcW w:type="dxa" w:w="1200"/>
            <w:shd w:fill="F8FAFC" w:val="clear"/>
          </w:tcPr>
          <w:p>
            <w:pPr>
              <w:jc w:val="center"/>
            </w:pPr>
            <w:r>
              <w:rPr>
                <w:sz w:val="22"/>
                <w:szCs w:val="22"/>
              </w:rPr>
              <w:t xml:space="preserve">2</w:t>
            </w:r>
          </w:p>
        </w:tc>
        <w:tc>
          <w:tcPr>
            <w:tcW w:type="dxa" w:w="1400"/>
            <w:shd w:fill="F8FAFC" w:val="clear"/>
          </w:tcPr>
          <w:p>
            <w:pPr>
              <w:jc w:val="center"/>
            </w:pPr>
            <w:r>
              <w:rPr>
                <w:sz w:val="22"/>
                <w:szCs w:val="22"/>
              </w:rPr>
              <w:t xml:space="preserve">4</w:t>
            </w:r>
          </w:p>
        </w:tc>
        <w:tc>
          <w:tcPr>
            <w:tcW w:type="dxa" w:w="1800"/>
            <w:shd w:fill="F8FAFC" w:val="clear"/>
          </w:tcPr>
          <w:p>
            <w:pPr>
              <w:jc w:val="center"/>
            </w:pPr>
            <w:r>
              <w:rPr>
                <w:sz w:val="22"/>
                <w:szCs w:val="22"/>
              </w:rPr>
              <w:t xml:space="preserve">6.25%</w:t>
            </w:r>
          </w:p>
        </w:tc>
      </w:tr>
      <w:tr>
        <w:tc>
          <w:tcPr>
            <w:tcW w:type="dxa" w:w="1600"/>
          </w:tcPr>
          <w:p>
            <w:pPr>
              <w:jc w:val="left"/>
            </w:pPr>
            <w:r>
              <w:rPr>
                <w:sz w:val="22"/>
                <w:szCs w:val="22"/>
              </w:rPr>
              <w:t xml:space="preserve">TOTAL</w:t>
            </w:r>
          </w:p>
        </w:tc>
        <w:tc>
          <w:tcPr>
            <w:tcW w:type="dxa" w:w="2600"/>
          </w:tcPr>
          <w:p>
            <w:pPr>
              <w:jc w:val="center"/>
            </w:pPr>
            <w:r>
              <w:rPr>
                <w:sz w:val="22"/>
                <w:szCs w:val="22"/>
              </w:rPr>
              <w:t xml:space="preserve">All Categories</w:t>
            </w:r>
          </w:p>
        </w:tc>
        <w:tc>
          <w:tcPr>
            <w:tcW w:type="dxa" w:w="1200"/>
          </w:tcPr>
          <w:p>
            <w:pPr>
              <w:jc w:val="center"/>
            </w:pPr>
            <w:r>
              <w:rPr>
                <w:sz w:val="22"/>
                <w:szCs w:val="22"/>
              </w:rPr>
              <w:t xml:space="preserve">32</w:t>
            </w:r>
          </w:p>
        </w:tc>
        <w:tc>
          <w:tcPr>
            <w:tcW w:type="dxa" w:w="1200"/>
          </w:tcPr>
          <w:p>
            <w:pPr>
              <w:jc w:val="center"/>
            </w:pPr>
            <w:r>
              <w:rPr>
                <w:sz w:val="22"/>
                <w:szCs w:val="22"/>
              </w:rPr>
              <w:t xml:space="preserve">32</w:t>
            </w:r>
          </w:p>
        </w:tc>
        <w:tc>
          <w:tcPr>
            <w:tcW w:type="dxa" w:w="1400"/>
          </w:tcPr>
          <w:p>
            <w:pPr>
              <w:jc w:val="center"/>
            </w:pPr>
            <w:r>
              <w:rPr>
                <w:sz w:val="22"/>
                <w:szCs w:val="22"/>
              </w:rPr>
              <w:t xml:space="preserve">64</w:t>
            </w:r>
          </w:p>
        </w:tc>
        <w:tc>
          <w:tcPr>
            <w:tcW w:type="dxa" w:w="1800"/>
          </w:tcPr>
          <w:p>
            <w:pPr>
              <w:jc w:val="center"/>
            </w:pPr>
            <w:r>
              <w:rPr>
                <w:sz w:val="22"/>
                <w:szCs w:val="22"/>
              </w:rPr>
              <w:t xml:space="preserve">100.00%</w:t>
            </w:r>
          </w:p>
        </w:tc>
      </w:tr>
    </w:tbl>
    <w:p>
      <w:pPr>
        <w:spacing w:after="120" w:line="360"/>
      </w:pPr>
      <w:r>
        <w:rPr>
          <w:i w:val="false"/>
          <w:iCs w:val="false"/>
          <w:sz w:val="24"/>
          <w:szCs w:val="24"/>
        </w:rPr>
        <w:t xml:space="preserve"/>
      </w:r>
    </w:p>
    <w:p>
      <w:pPr>
        <w:spacing w:after="60" w:before="140"/>
      </w:pPr>
      <w:r>
        <w:rPr>
          <w:b/>
          <w:bCs/>
          <w:sz w:val="24"/>
          <w:szCs w:val="24"/>
        </w:rPr>
        <w:t xml:space="preserve">Table 4.2: Summary of ISO/IEC 25010 Quality Evaluation Results</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1800"/>
        <w:gridCol w:w="1600"/>
        <w:gridCol w:w="2000"/>
        <w:gridCol w:w="2200"/>
      </w:tblGrid>
      <w:tr>
        <w:tc>
          <w:tcPr>
            <w:tcW w:type="dxa" w:w="2800"/>
            <w:shd w:fill="1E293B" w:val="clear"/>
          </w:tcPr>
          <w:p>
            <w:pPr>
              <w:jc w:val="center"/>
            </w:pPr>
            <w:r>
              <w:rPr>
                <w:b/>
                <w:bCs/>
                <w:color w:val="FFFFFF"/>
                <w:sz w:val="22"/>
                <w:szCs w:val="22"/>
              </w:rPr>
              <w:t xml:space="preserve">Quality Characteristic</w:t>
            </w:r>
          </w:p>
        </w:tc>
        <w:tc>
          <w:tcPr>
            <w:tcW w:type="dxa" w:w="1800"/>
            <w:shd w:fill="1E293B" w:val="clear"/>
          </w:tcPr>
          <w:p>
            <w:pPr>
              <w:jc w:val="center"/>
            </w:pPr>
            <w:r>
              <w:rPr>
                <w:b/>
                <w:bCs/>
                <w:color w:val="FFFFFF"/>
                <w:sz w:val="22"/>
                <w:szCs w:val="22"/>
              </w:rPr>
              <w:t xml:space="preserve">Evaluated Items</w:t>
            </w:r>
          </w:p>
        </w:tc>
        <w:tc>
          <w:tcPr>
            <w:tcW w:type="dxa" w:w="1600"/>
            <w:shd w:fill="1E293B" w:val="clear"/>
          </w:tcPr>
          <w:p>
            <w:pPr>
              <w:jc w:val="center"/>
            </w:pPr>
            <w:r>
              <w:rPr>
                <w:b/>
                <w:bCs/>
                <w:color w:val="FFFFFF"/>
                <w:sz w:val="22"/>
                <w:szCs w:val="22"/>
              </w:rPr>
              <w:t xml:space="preserve">Weighted Mean</w:t>
            </w:r>
          </w:p>
        </w:tc>
        <w:tc>
          <w:tcPr>
            <w:tcW w:type="dxa" w:w="2000"/>
            <w:shd w:fill="1E293B" w:val="clear"/>
          </w:tcPr>
          <w:p>
            <w:pPr>
              <w:jc w:val="center"/>
            </w:pPr>
            <w:r>
              <w:rPr>
                <w:b/>
                <w:bCs/>
                <w:color w:val="FFFFFF"/>
                <w:sz w:val="22"/>
                <w:szCs w:val="22"/>
              </w:rPr>
              <w:t xml:space="preserve">Verbal Interpretation</w:t>
            </w:r>
          </w:p>
        </w:tc>
        <w:tc>
          <w:tcPr>
            <w:tcW w:type="dxa" w:w="2200"/>
            <w:shd w:fill="1E293B" w:val="clear"/>
          </w:tcPr>
          <w:p>
            <w:pPr>
              <w:jc w:val="center"/>
            </w:pPr>
            <w:r>
              <w:rPr>
                <w:b/>
                <w:bCs/>
                <w:color w:val="FFFFFF"/>
                <w:sz w:val="22"/>
                <w:szCs w:val="22"/>
              </w:rPr>
              <w:t xml:space="preserve">System Acceptability</w:t>
            </w:r>
          </w:p>
        </w:tc>
      </w:tr>
      <w:tr>
        <w:tc>
          <w:tcPr>
            <w:tcW w:type="dxa" w:w="2800"/>
          </w:tcPr>
          <w:p>
            <w:pPr>
              <w:jc w:val="left"/>
            </w:pPr>
            <w:r>
              <w:rPr>
                <w:sz w:val="22"/>
                <w:szCs w:val="22"/>
              </w:rPr>
              <w:t xml:space="preserve">1. Functional Suitability</w:t>
            </w:r>
          </w:p>
        </w:tc>
        <w:tc>
          <w:tcPr>
            <w:tcW w:type="dxa" w:w="1800"/>
          </w:tcPr>
          <w:p>
            <w:pPr>
              <w:jc w:val="center"/>
            </w:pPr>
            <w:r>
              <w:rPr>
                <w:sz w:val="22"/>
                <w:szCs w:val="22"/>
              </w:rPr>
              <w:t xml:space="preserve">Q1 - Q5 (5 Items)</w:t>
            </w:r>
          </w:p>
        </w:tc>
        <w:tc>
          <w:tcPr>
            <w:tcW w:type="dxa" w:w="1600"/>
          </w:tcPr>
          <w:p>
            <w:pPr>
              <w:jc w:val="center"/>
            </w:pPr>
            <w:r>
              <w:rPr>
                <w:sz w:val="22"/>
                <w:szCs w:val="22"/>
              </w:rPr>
              <w:t xml:space="preserve">3.71</w:t>
            </w:r>
          </w:p>
        </w:tc>
        <w:tc>
          <w:tcPr>
            <w:tcW w:type="dxa" w:w="2000"/>
          </w:tcPr>
          <w:p>
            <w:pPr>
              <w:jc w:val="center"/>
            </w:pPr>
            <w:r>
              <w:rPr>
                <w:sz w:val="22"/>
                <w:szCs w:val="22"/>
              </w:rPr>
              <w:t xml:space="preserve">Strongly Agree</w:t>
            </w:r>
          </w:p>
        </w:tc>
        <w:tc>
          <w:tcPr>
            <w:tcW w:type="dxa" w:w="2200"/>
          </w:tcPr>
          <w:p>
            <w:pPr>
              <w:jc w:val="center"/>
            </w:pPr>
            <w:r>
              <w:rPr>
                <w:sz w:val="22"/>
                <w:szCs w:val="22"/>
              </w:rPr>
              <w:t xml:space="preserve">Highly Acceptable</w:t>
            </w:r>
          </w:p>
        </w:tc>
      </w:tr>
      <w:tr>
        <w:tc>
          <w:tcPr>
            <w:tcW w:type="dxa" w:w="2800"/>
            <w:shd w:fill="F8FAFC" w:val="clear"/>
          </w:tcPr>
          <w:p>
            <w:pPr>
              <w:jc w:val="left"/>
            </w:pPr>
            <w:r>
              <w:rPr>
                <w:sz w:val="22"/>
                <w:szCs w:val="22"/>
              </w:rPr>
              <w:t xml:space="preserve">2. Usability</w:t>
            </w:r>
          </w:p>
        </w:tc>
        <w:tc>
          <w:tcPr>
            <w:tcW w:type="dxa" w:w="1800"/>
            <w:shd w:fill="F8FAFC" w:val="clear"/>
          </w:tcPr>
          <w:p>
            <w:pPr>
              <w:jc w:val="center"/>
            </w:pPr>
            <w:r>
              <w:rPr>
                <w:sz w:val="22"/>
                <w:szCs w:val="22"/>
              </w:rPr>
              <w:t xml:space="preserve">Q6 - Q9 (4 Items)</w:t>
            </w:r>
          </w:p>
        </w:tc>
        <w:tc>
          <w:tcPr>
            <w:tcW w:type="dxa" w:w="1600"/>
            <w:shd w:fill="F8FAFC" w:val="clear"/>
          </w:tcPr>
          <w:p>
            <w:pPr>
              <w:jc w:val="center"/>
            </w:pPr>
            <w:r>
              <w:rPr>
                <w:sz w:val="22"/>
                <w:szCs w:val="22"/>
              </w:rPr>
              <w:t xml:space="preserve">3.67</w:t>
            </w:r>
          </w:p>
        </w:tc>
        <w:tc>
          <w:tcPr>
            <w:tcW w:type="dxa" w:w="2000"/>
            <w:shd w:fill="F8FAFC" w:val="clear"/>
          </w:tcPr>
          <w:p>
            <w:pPr>
              <w:jc w:val="center"/>
            </w:pPr>
            <w:r>
              <w:rPr>
                <w:sz w:val="22"/>
                <w:szCs w:val="22"/>
              </w:rPr>
              <w:t xml:space="preserve">Strongly Agree</w:t>
            </w:r>
          </w:p>
        </w:tc>
        <w:tc>
          <w:tcPr>
            <w:tcW w:type="dxa" w:w="2200"/>
            <w:shd w:fill="F8FAFC" w:val="clear"/>
          </w:tcPr>
          <w:p>
            <w:pPr>
              <w:jc w:val="center"/>
            </w:pPr>
            <w:r>
              <w:rPr>
                <w:sz w:val="22"/>
                <w:szCs w:val="22"/>
              </w:rPr>
              <w:t xml:space="preserve">Highly Acceptable</w:t>
            </w:r>
          </w:p>
        </w:tc>
      </w:tr>
      <w:tr>
        <w:tc>
          <w:tcPr>
            <w:tcW w:type="dxa" w:w="2800"/>
          </w:tcPr>
          <w:p>
            <w:pPr>
              <w:jc w:val="left"/>
            </w:pPr>
            <w:r>
              <w:rPr>
                <w:sz w:val="22"/>
                <w:szCs w:val="22"/>
              </w:rPr>
              <w:t xml:space="preserve">3. Reliability</w:t>
            </w:r>
          </w:p>
        </w:tc>
        <w:tc>
          <w:tcPr>
            <w:tcW w:type="dxa" w:w="1800"/>
          </w:tcPr>
          <w:p>
            <w:pPr>
              <w:jc w:val="center"/>
            </w:pPr>
            <w:r>
              <w:rPr>
                <w:sz w:val="22"/>
                <w:szCs w:val="22"/>
              </w:rPr>
              <w:t xml:space="preserve">Q10 - Q12 (3 Items)</w:t>
            </w:r>
          </w:p>
        </w:tc>
        <w:tc>
          <w:tcPr>
            <w:tcW w:type="dxa" w:w="1600"/>
          </w:tcPr>
          <w:p>
            <w:pPr>
              <w:jc w:val="center"/>
            </w:pPr>
            <w:r>
              <w:rPr>
                <w:sz w:val="22"/>
                <w:szCs w:val="22"/>
              </w:rPr>
              <w:t xml:space="preserve">3.63</w:t>
            </w:r>
          </w:p>
        </w:tc>
        <w:tc>
          <w:tcPr>
            <w:tcW w:type="dxa" w:w="2000"/>
          </w:tcPr>
          <w:p>
            <w:pPr>
              <w:jc w:val="center"/>
            </w:pPr>
            <w:r>
              <w:rPr>
                <w:sz w:val="22"/>
                <w:szCs w:val="22"/>
              </w:rPr>
              <w:t xml:space="preserve">Strongly Agree</w:t>
            </w:r>
          </w:p>
        </w:tc>
        <w:tc>
          <w:tcPr>
            <w:tcW w:type="dxa" w:w="2200"/>
          </w:tcPr>
          <w:p>
            <w:pPr>
              <w:jc w:val="center"/>
            </w:pPr>
            <w:r>
              <w:rPr>
                <w:sz w:val="22"/>
                <w:szCs w:val="22"/>
              </w:rPr>
              <w:t xml:space="preserve">Highly Acceptable</w:t>
            </w:r>
          </w:p>
        </w:tc>
      </w:tr>
      <w:tr>
        <w:tc>
          <w:tcPr>
            <w:tcW w:type="dxa" w:w="2800"/>
            <w:shd w:fill="F8FAFC" w:val="clear"/>
          </w:tcPr>
          <w:p>
            <w:pPr>
              <w:jc w:val="left"/>
            </w:pPr>
            <w:r>
              <w:rPr>
                <w:sz w:val="22"/>
                <w:szCs w:val="22"/>
              </w:rPr>
              <w:t xml:space="preserve">4. Performance Efficiency</w:t>
            </w:r>
          </w:p>
        </w:tc>
        <w:tc>
          <w:tcPr>
            <w:tcW w:type="dxa" w:w="1800"/>
            <w:shd w:fill="F8FAFC" w:val="clear"/>
          </w:tcPr>
          <w:p>
            <w:pPr>
              <w:jc w:val="center"/>
            </w:pPr>
            <w:r>
              <w:rPr>
                <w:sz w:val="22"/>
                <w:szCs w:val="22"/>
              </w:rPr>
              <w:t xml:space="preserve">Q13 - Q15 (3 Items)</w:t>
            </w:r>
          </w:p>
        </w:tc>
        <w:tc>
          <w:tcPr>
            <w:tcW w:type="dxa" w:w="1600"/>
            <w:shd w:fill="F8FAFC" w:val="clear"/>
          </w:tcPr>
          <w:p>
            <w:pPr>
              <w:jc w:val="center"/>
            </w:pPr>
            <w:r>
              <w:rPr>
                <w:sz w:val="22"/>
                <w:szCs w:val="22"/>
              </w:rPr>
              <w:t xml:space="preserve">3.69</w:t>
            </w:r>
          </w:p>
        </w:tc>
        <w:tc>
          <w:tcPr>
            <w:tcW w:type="dxa" w:w="2000"/>
            <w:shd w:fill="F8FAFC" w:val="clear"/>
          </w:tcPr>
          <w:p>
            <w:pPr>
              <w:jc w:val="center"/>
            </w:pPr>
            <w:r>
              <w:rPr>
                <w:sz w:val="22"/>
                <w:szCs w:val="22"/>
              </w:rPr>
              <w:t xml:space="preserve">Strongly Agree</w:t>
            </w:r>
          </w:p>
        </w:tc>
        <w:tc>
          <w:tcPr>
            <w:tcW w:type="dxa" w:w="2200"/>
            <w:shd w:fill="F8FAFC" w:val="clear"/>
          </w:tcPr>
          <w:p>
            <w:pPr>
              <w:jc w:val="center"/>
            </w:pPr>
            <w:r>
              <w:rPr>
                <w:sz w:val="22"/>
                <w:szCs w:val="22"/>
              </w:rPr>
              <w:t xml:space="preserve">Highly Acceptable</w:t>
            </w:r>
          </w:p>
        </w:tc>
      </w:tr>
      <w:tr>
        <w:tc>
          <w:tcPr>
            <w:tcW w:type="dxa" w:w="2800"/>
          </w:tcPr>
          <w:p>
            <w:pPr>
              <w:jc w:val="left"/>
            </w:pPr>
            <w:r>
              <w:rPr>
                <w:sz w:val="22"/>
                <w:szCs w:val="22"/>
              </w:rPr>
              <w:t xml:space="preserve">5. User Satisfaction &amp; SDG 4</w:t>
            </w:r>
          </w:p>
        </w:tc>
        <w:tc>
          <w:tcPr>
            <w:tcW w:type="dxa" w:w="1800"/>
          </w:tcPr>
          <w:p>
            <w:pPr>
              <w:jc w:val="center"/>
            </w:pPr>
            <w:r>
              <w:rPr>
                <w:sz w:val="22"/>
                <w:szCs w:val="22"/>
              </w:rPr>
              <w:t xml:space="preserve">Q16 - Q18 (3 Items)</w:t>
            </w:r>
          </w:p>
        </w:tc>
        <w:tc>
          <w:tcPr>
            <w:tcW w:type="dxa" w:w="1600"/>
          </w:tcPr>
          <w:p>
            <w:pPr>
              <w:jc w:val="center"/>
            </w:pPr>
            <w:r>
              <w:rPr>
                <w:sz w:val="22"/>
                <w:szCs w:val="22"/>
              </w:rPr>
              <w:t xml:space="preserve">3.78</w:t>
            </w:r>
          </w:p>
        </w:tc>
        <w:tc>
          <w:tcPr>
            <w:tcW w:type="dxa" w:w="2000"/>
          </w:tcPr>
          <w:p>
            <w:pPr>
              <w:jc w:val="center"/>
            </w:pPr>
            <w:r>
              <w:rPr>
                <w:sz w:val="22"/>
                <w:szCs w:val="22"/>
              </w:rPr>
              <w:t xml:space="preserve">Strongly Agree</w:t>
            </w:r>
          </w:p>
        </w:tc>
        <w:tc>
          <w:tcPr>
            <w:tcW w:type="dxa" w:w="2200"/>
          </w:tcPr>
          <w:p>
            <w:pPr>
              <w:jc w:val="center"/>
            </w:pPr>
            <w:r>
              <w:rPr>
                <w:sz w:val="22"/>
                <w:szCs w:val="22"/>
              </w:rPr>
              <w:t xml:space="preserve">Highly Acceptable</w:t>
            </w:r>
          </w:p>
        </w:tc>
      </w:tr>
      <w:tr>
        <w:tc>
          <w:tcPr>
            <w:tcW w:type="dxa" w:w="2800"/>
            <w:shd w:fill="F8FAFC" w:val="clear"/>
          </w:tcPr>
          <w:p>
            <w:pPr>
              <w:jc w:val="left"/>
            </w:pPr>
            <w:r>
              <w:rPr>
                <w:sz w:val="22"/>
                <w:szCs w:val="22"/>
              </w:rPr>
              <w:t xml:space="preserve">OVERALL GRAND MEAN</w:t>
            </w:r>
          </w:p>
        </w:tc>
        <w:tc>
          <w:tcPr>
            <w:tcW w:type="dxa" w:w="1800"/>
            <w:shd w:fill="F8FAFC" w:val="clear"/>
          </w:tcPr>
          <w:p>
            <w:pPr>
              <w:jc w:val="center"/>
            </w:pPr>
            <w:r>
              <w:rPr>
                <w:sz w:val="22"/>
                <w:szCs w:val="22"/>
              </w:rPr>
              <w:t xml:space="preserve">18 Items Total</w:t>
            </w:r>
          </w:p>
        </w:tc>
        <w:tc>
          <w:tcPr>
            <w:tcW w:type="dxa" w:w="1600"/>
            <w:shd w:fill="F8FAFC" w:val="clear"/>
          </w:tcPr>
          <w:p>
            <w:pPr>
              <w:jc w:val="center"/>
            </w:pPr>
            <w:r>
              <w:rPr>
                <w:sz w:val="22"/>
                <w:szCs w:val="22"/>
              </w:rPr>
              <w:t xml:space="preserve">3.70</w:t>
            </w:r>
          </w:p>
        </w:tc>
        <w:tc>
          <w:tcPr>
            <w:tcW w:type="dxa" w:w="2000"/>
            <w:shd w:fill="F8FAFC" w:val="clear"/>
          </w:tcPr>
          <w:p>
            <w:pPr>
              <w:jc w:val="center"/>
            </w:pPr>
            <w:r>
              <w:rPr>
                <w:sz w:val="22"/>
                <w:szCs w:val="22"/>
              </w:rPr>
              <w:t xml:space="preserve">Strongly Agree</w:t>
            </w:r>
          </w:p>
        </w:tc>
        <w:tc>
          <w:tcPr>
            <w:tcW w:type="dxa" w:w="2200"/>
            <w:shd w:fill="F8FAFC" w:val="clear"/>
          </w:tcPr>
          <w:p>
            <w:pPr>
              <w:jc w:val="center"/>
            </w:pPr>
            <w:r>
              <w:rPr>
                <w:sz w:val="22"/>
                <w:szCs w:val="22"/>
              </w:rPr>
              <w:t xml:space="preserve">Highly Acceptable</w:t>
            </w:r>
          </w:p>
        </w:tc>
      </w:tr>
    </w:tbl>
    <w:p>
      <w:pPr>
        <w:spacing w:after="120" w:line="360"/>
      </w:pPr>
      <w:r>
        <w:rPr>
          <w:i w:val="false"/>
          <w:iCs w:val="false"/>
          <w:sz w:val="24"/>
          <w:szCs w:val="24"/>
        </w:rPr>
        <w:t xml:space="preserve"/>
      </w:r>
    </w:p>
    <w:p>
      <w:pPr>
        <w:spacing w:after="60" w:before="140"/>
      </w:pPr>
      <w:r>
        <w:rPr>
          <w:b/>
          <w:bCs/>
          <w:sz w:val="24"/>
          <w:szCs w:val="24"/>
        </w:rPr>
        <w:t xml:space="preserve">Interpretation of Findings</w:t>
      </w:r>
    </w:p>
    <w:p>
      <w:pPr>
        <w:spacing w:after="120" w:line="360"/>
      </w:pPr>
      <w:r>
        <w:rPr>
          <w:i w:val="false"/>
          <w:iCs w:val="false"/>
          <w:sz w:val="24"/>
          <w:szCs w:val="24"/>
        </w:rPr>
        <w:t xml:space="preserve">The overall grand weighted mean of 3.70 indicates that LibraLink achieved a rating of 'Strongly Agree' and is deemed 'Highly Acceptable' across all respondent groups. The highest rated criterion was User Satisfaction and SDG 4 Impact (3.78), demonstrating that students and library professionals value the platform's ability to bridge academic book scarcity between participating schools in Pampanga.</w:t>
      </w:r>
    </w:p>
    <w:p>
      <w:pPr>
        <w:spacing w:after="120" w:line="360"/>
      </w:pPr>
      <w:r>
        <w:rPr>
          <w:i w:val="false"/>
          <w:iCs w:val="false"/>
          <w:sz w:val="24"/>
          <w:szCs w:val="24"/>
        </w:rPr>
        <w:t xml:space="preserve">Functional Suitability (3.71), Performance Efficiency (3.69), and Usability (3.67) received very high marks, confirming that the user experience is intuitive, mobile-responsive, and efficient. The findings provide solid technical and empirical evidence that LibraLink accomplishes all its research objectives and is ready for institutional implementation.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ce93db3e62bc2e67afc314a28b6611e6e752097.undefined"/><Relationship Id="rId8" Type="http://schemas.openxmlformats.org/officeDocument/2006/relationships/image" Target="media/358449f8cae872ebc64900bd8b1716b933d84b83.undefined"/><Relationship Id="rId9" Type="http://schemas.openxmlformats.org/officeDocument/2006/relationships/image" Target="media/934f2cd941e61c0ab0d714c42edd46cc11e56305.undefined"/><Relationship Id="rId10" Type="http://schemas.openxmlformats.org/officeDocument/2006/relationships/image" Target="media/dde7c6c441c92acd8b06fbbb8099106220e896d1.undefined"/><Relationship Id="rId11" Type="http://schemas.openxmlformats.org/officeDocument/2006/relationships/image" Target="media/3f98e996942ddb44191e90835fefb8c7abf5a681.undefined"/><Relationship Id="rId12" Type="http://schemas.openxmlformats.org/officeDocument/2006/relationships/image" Target="media/b47fe9b13881c71ae7e2ead91e6c5e7f8ad9176c.undefined"/><Relationship Id="rId13" Type="http://schemas.openxmlformats.org/officeDocument/2006/relationships/image" Target="media/ff900189c74015ec6ddfa2cd870cf134408628a5.undefined"/><Relationship Id="rId14" Type="http://schemas.openxmlformats.org/officeDocument/2006/relationships/image" Target="media/a8b11838c1717c6a37311d18979d6901000f3664.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2026-10-03T08:38:13.130Z</dcterms:created>
  <dcterms:modified xsi:type="dcterms:W3CDTF">2026-10-03T08:38:13.131Z</dcterms:modified>
</cp:coreProperties>
</file>

<file path=docProps/custom.xml><?xml version="1.0" encoding="utf-8"?>
<Properties xmlns="http://schemas.openxmlformats.org/officeDocument/2006/custom-properties" xmlns:vt="http://schemas.openxmlformats.org/officeDocument/2006/docPropsVTypes"/>
</file>