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</w:t>
      </w:r>
      <w:r>
        <w:t xml:space="preserve"> </w:t>
      </w:r>
      <w:r>
        <w:t xml:space="preserve">National</w:t>
      </w:r>
      <w:r>
        <w:t xml:space="preserve"> </w:t>
      </w:r>
      <w:r>
        <w:t xml:space="preserve">Focal</w:t>
      </w:r>
      <w:r>
        <w:t xml:space="preserve"> </w:t>
      </w:r>
      <w:r>
        <w:t xml:space="preserve">Point</w:t>
      </w:r>
      <w:r>
        <w:t xml:space="preserve"> </w:t>
      </w:r>
      <w:r>
        <w:t xml:space="preserve">survey</w:t>
      </w:r>
      <w:r>
        <w:t xml:space="preserve"> </w:t>
      </w:r>
      <w:r>
        <w:t xml:space="preserve">as</w:t>
      </w:r>
      <w:r>
        <w:t xml:space="preserve"> </w:t>
      </w:r>
      <w:r>
        <w:t xml:space="preserve">evidence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RespiCast</w:t>
      </w:r>
      <w:r>
        <w:t xml:space="preserve"> </w:t>
      </w:r>
      <w:r>
        <w:t xml:space="preserve">review</w:t>
      </w:r>
    </w:p>
    <w:p>
      <w:pPr>
        <w:pStyle w:val="FirstParagraph"/>
      </w:pPr>
      <w:r>
        <w:rPr>
          <w:bCs/>
          <w:b/>
        </w:rPr>
        <w:t xml:space="preserve">A reading of the 2024 NFP survey against the review’s least-cost test — what it does and does not license.</w:t>
      </w:r>
    </w:p>
    <w:p>
      <w:pPr>
        <w:pStyle w:val="BodyText"/>
      </w:pPr>
      <w:r>
        <w:rPr>
          <w:bCs/>
          <w:b/>
        </w:rPr>
        <w:t xml:space="preserve">Provenance and scope (read first).</w:t>
      </w:r>
      <w:r>
        <w:t xml:space="preserve"> </w:t>
      </w:r>
      <w:r>
        <w:rPr>
          <w:iCs/>
          <w:i/>
        </w:rPr>
        <w:t xml:space="preserve">Instrument:</w:t>
      </w:r>
      <w:r>
        <w:t xml:space="preserve"> </w:t>
      </w:r>
      <w:r>
        <w:t xml:space="preserve">the 2024 ECDC survey of National Focal Points (NFPs) for respiratory viruses, run by the ECDC Respiratory Viruses &amp; Legionella group and the Modelling team to learn</w:t>
      </w:r>
      <w:r>
        <w:t xml:space="preserve"> </w:t>
      </w:r>
      <w:r>
        <w:rPr>
          <w:bCs/>
          <w:b/>
        </w:rPr>
        <w:t xml:space="preserve">whether and how countries use mathematical modelling</w:t>
      </w:r>
      <w:r>
        <w:t xml:space="preserve"> </w:t>
      </w:r>
      <w:r>
        <w:t xml:space="preserve">to interpret surveillance data and inform decisions, and</w:t>
      </w:r>
      <w:r>
        <w:t xml:space="preserve"> </w:t>
      </w:r>
      <w:r>
        <w:rPr>
          <w:bCs/>
          <w:b/>
        </w:rPr>
        <w:t xml:space="preserve">which outputs they would prefer from ECDC modelling tools</w:t>
      </w:r>
      <w:r>
        <w:t xml:space="preserve">; results were presented to the network in</w:t>
      </w:r>
      <w:r>
        <w:t xml:space="preserve"> </w:t>
      </w:r>
      <w:r>
        <w:rPr>
          <w:bCs/>
          <w:b/>
        </w:rPr>
        <w:t xml:space="preserve">October 2024</w:t>
      </w:r>
      <w:r>
        <w:t xml:space="preserve">. It is a</w:t>
      </w:r>
      <w:r>
        <w:t xml:space="preserve"> </w:t>
      </w:r>
      <w:r>
        <w:rPr>
          <w:iCs/>
          <w:i/>
        </w:rPr>
        <w:t xml:space="preserve">general</w:t>
      </w:r>
      <w:r>
        <w:t xml:space="preserve"> </w:t>
      </w:r>
      <w:r>
        <w:t xml:space="preserve">modelling survey — not a RespiCast- or RespiCompass-specific evaluation — so the output-preference question (§2a) is in scope, but the instrument reports</w:t>
      </w:r>
      <w:r>
        <w:t xml:space="preserve"> </w:t>
      </w:r>
      <w:r>
        <w:rPr>
          <w:bCs/>
          <w:b/>
        </w:rPr>
        <w:t xml:space="preserve">stated awareness and preference, not measured use</w:t>
      </w:r>
      <w:r>
        <w:t xml:space="preserve">.</w:t>
      </w:r>
      <w:r>
        <w:t xml:space="preserve"> </w:t>
      </w:r>
      <w:r>
        <w:rPr>
          <w:iCs/>
          <w:i/>
        </w:rPr>
        <w:t xml:space="preserve">Vintage:</w:t>
      </w:r>
      <w:r>
        <w:t xml:space="preserve"> </w:t>
      </w:r>
      <w:r>
        <w:t xml:space="preserve">fielded in</w:t>
      </w:r>
      <w:r>
        <w:t xml:space="preserve"> </w:t>
      </w:r>
      <w:r>
        <w:rPr>
          <w:bCs/>
          <w:b/>
        </w:rPr>
        <w:t xml:space="preserve">2024</w:t>
      </w:r>
      <w:r>
        <w:t xml:space="preserve">, when RespiCast was ~1 year old; it informs a late-2026 decision, so its figures are ~2 years old.</w:t>
      </w:r>
      <w:r>
        <w:t xml:space="preserve"> </w:t>
      </w:r>
      <w:r>
        <w:rPr>
          <w:iCs/>
          <w:i/>
        </w:rPr>
        <w:t xml:space="preserve">Population:</w:t>
      </w:r>
      <w:r>
        <w:t xml:space="preserve"> </w:t>
      </w:r>
      <w:r>
        <w:rPr>
          <w:bCs/>
          <w:b/>
        </w:rPr>
        <w:t xml:space="preserve">19 of ~30 NFPs</w:t>
      </w:r>
      <w:r>
        <w:t xml:space="preserve"> </w:t>
      </w:r>
      <w:r>
        <w:t xml:space="preserve">replied — national surveillance / public-health</w:t>
      </w:r>
      <w:r>
        <w:t xml:space="preserve"> </w:t>
      </w:r>
      <w:r>
        <w:rPr>
          <w:bCs/>
          <w:b/>
        </w:rPr>
        <w:t xml:space="preserve">consumers</w:t>
      </w:r>
      <w:r>
        <w:t xml:space="preserve">, giving one collective</w:t>
      </w:r>
      <w:r>
        <w:t xml:space="preserve"> </w:t>
      </w:r>
      <w:r>
        <w:rPr>
          <w:bCs/>
          <w:b/>
        </w:rPr>
        <w:t xml:space="preserve">institutional position</w:t>
      </w:r>
      <w:r>
        <w:t xml:space="preserve"> </w:t>
      </w:r>
      <w:r>
        <w:t xml:space="preserve">per country (the respondent need never have opened a forecast). They are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the contributor modelling network (~9 teams / 28 models) and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the website-user survey (results due November); those three must not be conflated.</w:t>
      </w:r>
      <w:r>
        <w:t xml:space="preserve"> </w:t>
      </w:r>
      <w:r>
        <w:rPr>
          <w:iCs/>
          <w:i/>
        </w:rPr>
        <w:t xml:space="preserve">Non-response:</w:t>
      </w:r>
      <w:r>
        <w:t xml:space="preserve"> </w:t>
      </w:r>
      <w:r>
        <w:t xml:space="preserve">19 of ~30 is not random — the absent ~11 plausibly skew</w:t>
      </w:r>
      <w:r>
        <w:t xml:space="preserve"> </w:t>
      </w:r>
      <w:r>
        <w:rPr>
          <w:bCs/>
          <w:b/>
        </w:rPr>
        <w:t xml:space="preserve">less</w:t>
      </w:r>
      <w:r>
        <w:t xml:space="preserve"> </w:t>
      </w:r>
      <w:r>
        <w:t xml:space="preserve">aware/engaged, so the figures here are, if anything,</w:t>
      </w:r>
      <w:r>
        <w:t xml:space="preserve"> </w:t>
      </w:r>
      <w:r>
        <w:rPr>
          <w:bCs/>
          <w:b/>
        </w:rPr>
        <w:t xml:space="preserve">optimistic</w:t>
      </w:r>
      <w:r>
        <w:t xml:space="preserve">; every share moves ~5 points per country and subgroup counts below are single digits.</w:t>
      </w:r>
      <w:r>
        <w:t xml:space="preserve"> </w:t>
      </w:r>
      <w:r>
        <w:rPr>
          <w:iCs/>
          <w:i/>
        </w:rPr>
        <w:t xml:space="preserve">The governing question:</w:t>
      </w:r>
      <w:r>
        <w:t xml:space="preserve"> </w:t>
      </w:r>
      <w:r>
        <w:t xml:space="preserve">the review asks not only what value RespiCast</w:t>
      </w:r>
      <w:r>
        <w:t xml:space="preserve"> </w:t>
      </w:r>
      <w:r>
        <w:rPr>
          <w:iCs/>
          <w:i/>
        </w:rPr>
        <w:t xml:space="preserve">has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could have</w:t>
      </w:r>
      <w:r>
        <w:t xml:space="preserve">, but whether that value could be had</w:t>
      </w:r>
      <w:r>
        <w:t xml:space="preserve"> </w:t>
      </w:r>
      <w:r>
        <w:rPr>
          <w:bCs/>
          <w:b/>
        </w:rPr>
        <w:t xml:space="preserve">more cheaply</w:t>
      </w:r>
      <w:r>
        <w:t xml:space="preserve">. A benefit counts toward continuation only where the survey gives reason to think a cheaper route would not deliver it.</w:t>
      </w:r>
    </w:p>
    <w:p>
      <w:pPr>
        <w:pStyle w:val="BodyText"/>
      </w:pPr>
      <w:r>
        <w:rPr>
          <w:bCs/>
          <w:b/>
        </w:rPr>
        <w:t xml:space="preserve">1. What the survey licenses — and the gap where the cost sits.</w:t>
      </w:r>
      <w:r>
        <w:t xml:space="preserve"> </w:t>
      </w:r>
      <w:r>
        <w:t xml:space="preserve">The strongest finding is a</w:t>
      </w:r>
      <w:r>
        <w:t xml:space="preserve"> </w:t>
      </w:r>
      <w:r>
        <w:rPr>
          <w:bCs/>
          <w:b/>
        </w:rPr>
        <w:t xml:space="preserve">need</w:t>
      </w:r>
      <w:r>
        <w:t xml:space="preserve">:</w:t>
      </w:r>
      <w:r>
        <w:t xml:space="preserve"> </w:t>
      </w:r>
      <w:r>
        <w:rPr>
          <w:bCs/>
          <w:b/>
        </w:rPr>
        <w:t xml:space="preserve">13 of 19 institutes (68%) have no in-house mathematical modeller</w:t>
      </w:r>
      <w:r>
        <w:t xml:space="preserve">, and only one has a team above five (Figure 1). That is clear evidence ECDC should provide</w:t>
      </w:r>
      <w:r>
        <w:t xml:space="preserve"> </w:t>
      </w:r>
      <w:r>
        <w:rPr>
          <w:bCs/>
          <w:b/>
        </w:rPr>
        <w:t xml:space="preserve">some</w:t>
      </w:r>
      <w:r>
        <w:t xml:space="preserve"> </w:t>
      </w:r>
      <w:r>
        <w:t xml:space="preserve">central forecast. It is</w:t>
      </w:r>
      <w:r>
        <w:t xml:space="preserve"> </w:t>
      </w:r>
      <w:r>
        <w:rPr>
          <w:bCs/>
          <w:b/>
        </w:rPr>
        <w:t xml:space="preserve">silent</w:t>
      </w:r>
      <w:r>
        <w:t xml:space="preserve"> </w:t>
      </w:r>
      <w:r>
        <w:t xml:space="preserve">on the question that carries the cost — whether that forecast must be a ~28-model community ensemble on a hubverse platform rather than a single centrally-run model. The survey cannot compare the two, and that silence is itself decision-relevant. It sharpens against the stated use: the activity NFPs most expect modelling to inform is</w:t>
      </w:r>
      <w:r>
        <w:t xml:space="preserve"> </w:t>
      </w:r>
      <w:r>
        <w:rPr>
          <w:bCs/>
          <w:b/>
        </w:rPr>
        <w:t xml:space="preserve">situational awareness</w:t>
      </w:r>
      <w:r>
        <w:t xml:space="preserve"> </w:t>
      </w:r>
      <w:r>
        <w:t xml:space="preserve">(surveillance,</w:t>
      </w:r>
      <w:r>
        <w:t xml:space="preserve"> </w:t>
      </w:r>
      <w:r>
        <w:rPr>
          <w:bCs/>
          <w:b/>
        </w:rPr>
        <w:t xml:space="preserve">58%</w:t>
      </w:r>
      <w:r>
        <w:t xml:space="preserve"> </w:t>
      </w:r>
      <w:r>
        <w:t xml:space="preserve">“</w:t>
      </w:r>
      <w:r>
        <w:t xml:space="preserve">likely</w:t>
      </w:r>
      <w:r>
        <w:t xml:space="preserve">”</w:t>
      </w:r>
      <w:r>
        <w:t xml:space="preserve">), while the demanding forecasting use case —</w:t>
      </w:r>
      <w:r>
        <w:t xml:space="preserve"> </w:t>
      </w:r>
      <w:r>
        <w:rPr>
          <w:bCs/>
          <w:b/>
        </w:rPr>
        <w:t xml:space="preserve">healthcare-capacity planning</w:t>
      </w:r>
      <w:r>
        <w:t xml:space="preserve"> </w:t>
      </w:r>
      <w:r>
        <w:t xml:space="preserve">— is the one they expect</w:t>
      </w:r>
      <w:r>
        <w:t xml:space="preserve"> </w:t>
      </w:r>
      <w:r>
        <w:rPr>
          <w:bCs/>
          <w:b/>
        </w:rPr>
        <w:t xml:space="preserve">least</w:t>
      </w:r>
      <w:r>
        <w:t xml:space="preserve"> </w:t>
      </w:r>
      <w:r>
        <w:t xml:space="preserve">(</w:t>
      </w:r>
      <w:r>
        <w:rPr>
          <w:bCs/>
          <w:b/>
        </w:rPr>
        <w:t xml:space="preserve">16%</w:t>
      </w:r>
      <w:r>
        <w:t xml:space="preserve"> </w:t>
      </w:r>
      <w:r>
        <w:t xml:space="preserve">“</w:t>
      </w:r>
      <w:r>
        <w:t xml:space="preserve">likely</w:t>
      </w:r>
      <w:r>
        <w:t xml:space="preserve">”</w:t>
      </w:r>
      <w:r>
        <w:t xml:space="preserve">; 42%</w:t>
      </w:r>
      <w:r>
        <w:t xml:space="preserve"> </w:t>
      </w:r>
      <w:r>
        <w:t xml:space="preserve">“</w:t>
      </w:r>
      <w:r>
        <w:t xml:space="preserve">unlikely</w:t>
      </w:r>
      <w:r>
        <w:t xml:space="preserve">”</w:t>
      </w:r>
      <w:r>
        <w:t xml:space="preserve">). An undemanding use case is one a much simpler product might serve adequately. What a multi-model ensemble buys over a simple central forecast, for situational awareness, the survey cannot say — and should not be read to.</w:t>
      </w:r>
    </w:p>
    <w:p>
      <w:pPr>
        <w:pStyle w:val="CaptionedFigure"/>
      </w:pPr>
      <w:r>
        <w:drawing>
          <wp:inline>
            <wp:extent cx="5334000" cy="2182090"/>
            <wp:effectExtent b="0" l="0" r="0" t="0"/>
            <wp:docPr descr="Figure 1. In-house mathematical-modelling staff at the national institute (2024 NFP survey, 19 countries). Source: code/05_figures/fig_respicast_decision.R." title="" id="21" name="Picture"/>
            <a:graphic>
              <a:graphicData uri="http://schemas.openxmlformats.org/drawingml/2006/picture">
                <pic:pic>
                  <pic:nvPicPr>
                    <pic:cNvPr descr="output/figures/respicast/dec_fig1_capacity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820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Cs/>
          <w:b/>
        </w:rPr>
        <w:t xml:space="preserve">Figure 1.</w:t>
      </w:r>
      <w:r>
        <w:t xml:space="preserve"> </w:t>
      </w:r>
      <w:r>
        <w:t xml:space="preserve">In-house mathematical-modelling staff at the national institute (2024 NFP survey, 19 countries). Source:</w:t>
      </w:r>
      <w:r>
        <w:t xml:space="preserve"> </w:t>
      </w:r>
      <w:r>
        <w:rPr>
          <w:rStyle w:val="VerbatimChar"/>
        </w:rPr>
        <w:t xml:space="preserve">code/05_figures/fig_respicast_decision.R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2. Awareness — not use — and it is thinnest where the need is greatest.</w:t>
      </w:r>
      <w:r>
        <w:t xml:space="preserve"> </w:t>
      </w:r>
      <w:r>
        <w:t xml:space="preserve">Q5 asked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how aware are you of respiratory virus burden modelling work done at ECDC?</w:t>
      </w:r>
      <w:r>
        <w:rPr>
          <w:iCs/>
          <w:i/>
        </w:rPr>
        <w:t xml:space="preserve">”</w:t>
      </w:r>
      <w:r>
        <w:t xml:space="preserve">, rated 0–5 on a slider per output. It measures</w:t>
      </w:r>
      <w:r>
        <w:t xml:space="preserve"> </w:t>
      </w:r>
      <w:r>
        <w:rPr>
          <w:bCs/>
          <w:b/>
        </w:rPr>
        <w:t xml:space="preserve">awareness, not use</w:t>
      </w:r>
      <w:r>
        <w:t xml:space="preserve"> </w:t>
      </w:r>
      <w:r>
        <w:t xml:space="preserve">— a distinction the first draft of this note blurred and this version corrects. Awareness of RespiCast averages</w:t>
      </w:r>
      <w:r>
        <w:t xml:space="preserve"> </w:t>
      </w:r>
      <w:r>
        <w:rPr>
          <w:bCs/>
          <w:b/>
        </w:rPr>
        <w:t xml:space="preserve">2.1 / 5</w:t>
      </w:r>
      <w:r>
        <w:t xml:space="preserve"> </w:t>
      </w:r>
      <w:r>
        <w:t xml:space="preserve">(18 countries) and is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higher where in-house capacity is absent: no-modeller countries average</w:t>
      </w:r>
      <w:r>
        <w:t xml:space="preserve"> </w:t>
      </w:r>
      <w:r>
        <w:rPr>
          <w:bCs/>
          <w:b/>
        </w:rPr>
        <w:t xml:space="preserve">2.08</w:t>
      </w:r>
      <w:r>
        <w:t xml:space="preserve"> </w:t>
      </w:r>
      <w:r>
        <w:t xml:space="preserve">(n = 13), those with a team</w:t>
      </w:r>
      <w:r>
        <w:t xml:space="preserve"> </w:t>
      </w:r>
      <w:r>
        <w:rPr>
          <w:bCs/>
          <w:b/>
        </w:rPr>
        <w:t xml:space="preserve">2.2</w:t>
      </w:r>
      <w:r>
        <w:t xml:space="preserve"> </w:t>
      </w:r>
      <w:r>
        <w:t xml:space="preserve">(n = 5). The review’s discriminator — do the RespiCast-</w:t>
      </w:r>
      <w:r>
        <w:rPr>
          <w:bCs/>
          <w:b/>
        </w:rPr>
        <w:t xml:space="preserve">unaware</w:t>
      </w:r>
      <w:r>
        <w:t xml:space="preserve"> </w:t>
      </w:r>
      <w:r>
        <w:t xml:space="preserve">cluster among the no-modeller countries? — lands cleanly, at small n:</w:t>
      </w:r>
      <w:r>
        <w:t xml:space="preserve"> </w:t>
      </w:r>
      <w:r>
        <w:rPr>
          <w:bCs/>
          <w:b/>
        </w:rPr>
        <w:t xml:space="preserve">all three institutes entirely unaware of RespiCast have no modelling team; every country with any in-house capacity was aware.</w:t>
      </w:r>
      <w:r>
        <w:t xml:space="preserve"> </w:t>
      </w:r>
      <w:r>
        <w:t xml:space="preserve">So the awareness gap sits exactly where the need is greatest — a</w:t>
      </w:r>
      <w:r>
        <w:t xml:space="preserve"> </w:t>
      </w:r>
      <w:r>
        <w:rPr>
          <w:bCs/>
          <w:b/>
        </w:rPr>
        <w:t xml:space="preserve">distribution / communications gap</w:t>
      </w:r>
      <w:r>
        <w:t xml:space="preserve">, cheap to close, favouring</w:t>
      </w:r>
      <w:r>
        <w:t xml:space="preserve"> </w:t>
      </w:r>
      <w:r>
        <w:rPr>
          <w:iCs/>
          <w:i/>
        </w:rPr>
        <w:t xml:space="preserve">continuation-evolved</w:t>
      </w:r>
      <w:r>
        <w:t xml:space="preserve">. What the survey</w:t>
      </w:r>
      <w:r>
        <w:t xml:space="preserve"> </w:t>
      </w:r>
      <w:r>
        <w:rPr>
          <w:bCs/>
          <w:b/>
        </w:rPr>
        <w:t xml:space="preserve">cannot</w:t>
      </w:r>
      <w:r>
        <w:t xml:space="preserve"> </w:t>
      </w:r>
      <w:r>
        <w:t xml:space="preserve">say is whether closing it converts into use: Q5 is awareness only, and the sole evidence on actual use is the open text (§5), where several institutes state they have</w:t>
      </w:r>
      <w:r>
        <w:t xml:space="preserve"> </w:t>
      </w:r>
      <w:r>
        <w:rPr>
          <w:bCs/>
          <w:b/>
        </w:rPr>
        <w:t xml:space="preserve">not yet used</w:t>
      </w:r>
      <w:r>
        <w:t xml:space="preserve"> </w:t>
      </w:r>
      <w:r>
        <w:t xml:space="preserve">the outputs. Awareness is a necessary, not a sufficient, condition for value.</w:t>
      </w:r>
    </w:p>
    <w:p>
      <w:pPr>
        <w:pStyle w:val="BodyText"/>
      </w:pPr>
      <w:r>
        <w:rPr>
          <w:bCs/>
          <w:b/>
        </w:rPr>
        <w:t xml:space="preserve">2a. The preference question (in scope, this time).</w:t>
      </w:r>
      <w:r>
        <w:t xml:space="preserve"> </w:t>
      </w:r>
      <w:r>
        <w:t xml:space="preserve">The survey explicitly asked which outputs NFPs would prefer, so the forecasts-vs-scenarios comparison is a legitimate finding, not a by-product:</w:t>
      </w:r>
      <w:r>
        <w:t xml:space="preserve"> </w:t>
      </w:r>
      <w:r>
        <w:rPr>
          <w:bCs/>
          <w:b/>
        </w:rPr>
        <w:t xml:space="preserve">15 of 19 (79%)</w:t>
      </w:r>
      <w:r>
        <w:t xml:space="preserve"> </w:t>
      </w:r>
      <w:r>
        <w:t xml:space="preserve">expect RespiCast to be useful, and among those who chose a single output, forecasts were preferred to scenarios</w:t>
      </w:r>
      <w:r>
        <w:t xml:space="preserve"> </w:t>
      </w:r>
      <w:r>
        <w:rPr>
          <w:bCs/>
          <w:b/>
        </w:rPr>
        <w:t xml:space="preserve">5:1</w:t>
      </w:r>
      <w:r>
        <w:t xml:space="preserve">. In least-cost terms this supports ECDC providing</w:t>
      </w:r>
      <w:r>
        <w:t xml:space="preserve"> </w:t>
      </w:r>
      <w:r>
        <w:rPr>
          <w:bCs/>
          <w:b/>
        </w:rPr>
        <w:t xml:space="preserve">a</w:t>
      </w:r>
      <w:r>
        <w:t xml:space="preserve"> </w:t>
      </w:r>
      <w:r>
        <w:t xml:space="preserve">central forecast in preference to a scenario product — it says nothing about whether that forecast must be the multi-model hub.</w:t>
      </w:r>
    </w:p>
    <w:p>
      <w:pPr>
        <w:pStyle w:val="BodyText"/>
      </w:pPr>
      <w:r>
        <w:rPr>
          <w:bCs/>
          <w:b/>
        </w:rPr>
        <w:t xml:space="preserve">3. The low score is largely recency.</w:t>
      </w:r>
      <w:r>
        <w:t xml:space="preserve"> </w:t>
      </w:r>
      <w:r>
        <w:t xml:space="preserve">Awareness tracks how long an output has been in circulation:</w:t>
      </w:r>
      <w:r>
        <w:t xml:space="preserve"> </w:t>
      </w:r>
      <w:r>
        <w:rPr>
          <w:bCs/>
          <w:b/>
        </w:rPr>
        <w:t xml:space="preserve">guidance documents (since 2020) sit at 3.9</w:t>
      </w:r>
      <w:r>
        <w:t xml:space="preserve">, the COVID-era hubs at ~2.7,</w:t>
      </w:r>
      <w:r>
        <w:t xml:space="preserve"> </w:t>
      </w:r>
      <w:r>
        <w:rPr>
          <w:bCs/>
          <w:b/>
        </w:rPr>
        <w:t xml:space="preserve">RespiCast (2023) at 2.1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RespiCompass (2024) at 1.35</w:t>
      </w:r>
      <w:r>
        <w:t xml:space="preserve"> </w:t>
      </w:r>
      <w:r>
        <w:t xml:space="preserve">— newest, least known. So RespiCast’s low awareness is substantially a recency and communication-reach effect, not a signal about its value or use; closing the gap (cheap comms) would move it toward the level of the older, better-known outputs. Even this awareness reading is ~2 years stale.</w:t>
      </w:r>
    </w:p>
    <w:p>
      <w:pPr>
        <w:pStyle w:val="BodyText"/>
      </w:pPr>
      <w:r>
        <w:rPr>
          <w:bCs/>
          <w:b/>
        </w:rPr>
        <w:t xml:space="preserve">4. The realised-value ceiling: a route into decisions.</w:t>
      </w:r>
      <w:r>
        <w:t xml:space="preserve"> </w:t>
      </w:r>
      <w:r>
        <w:t xml:space="preserve">Independent of the product, only</w:t>
      </w:r>
      <w:r>
        <w:t xml:space="preserve"> </w:t>
      </w:r>
      <w:r>
        <w:rPr>
          <w:bCs/>
          <w:b/>
        </w:rPr>
        <w:t xml:space="preserve">9 of 19 institutes (48%)</w:t>
      </w:r>
      <w:r>
        <w:t xml:space="preserve"> </w:t>
      </w:r>
      <w:r>
        <w:t xml:space="preserve">report a clear mechanism to integrate modelling into public-health decisions;</w:t>
      </w:r>
      <w:r>
        <w:t xml:space="preserve"> </w:t>
      </w:r>
      <w:r>
        <w:rPr>
          <w:bCs/>
          <w:b/>
        </w:rPr>
        <w:t xml:space="preserve">6 (32%)</w:t>
      </w:r>
      <w:r>
        <w:t xml:space="preserve"> </w:t>
      </w:r>
      <w:r>
        <w:t xml:space="preserve">disagree (Figure 2). This caps what any forecast can achieve nationally. Whether ECDC helping to close it is cheap or a cost carried elsewhere is a cost question (§6), not free upside.</w:t>
      </w:r>
    </w:p>
    <w:p>
      <w:pPr>
        <w:pStyle w:val="CaptionedFigure"/>
      </w:pPr>
      <w:r>
        <w:drawing>
          <wp:inline>
            <wp:extent cx="5334000" cy="1535545"/>
            <wp:effectExtent b="0" l="0" r="0" t="0"/>
            <wp:docPr descr="Figure 2. “There is a clear, consistent mechanism to integrate modelling outputs into public-health decisions at my institute” (2024 NFP survey, 19 countries). Source: code/05_figures/fig_respicast_decision.R." title="" id="24" name="Picture"/>
            <a:graphic>
              <a:graphicData uri="http://schemas.openxmlformats.org/drawingml/2006/picture">
                <pic:pic>
                  <pic:nvPicPr>
                    <pic:cNvPr descr="output/figures/respicast/dec_fig2_pathway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355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Cs/>
          <w:b/>
        </w:rPr>
        <w:t xml:space="preserve">Figure 2.</w:t>
      </w:r>
      <w:r>
        <w:t xml:space="preserve"> </w:t>
      </w:r>
      <w:r>
        <w:t xml:space="preserve">“</w:t>
      </w:r>
      <w:r>
        <w:t xml:space="preserve">There is a clear, consistent mechanism to integrate modelling outputs into public-health decisions at my institute</w:t>
      </w:r>
      <w:r>
        <w:t xml:space="preserve">”</w:t>
      </w:r>
      <w:r>
        <w:t xml:space="preserve"> </w:t>
      </w:r>
      <w:r>
        <w:t xml:space="preserve">(2024 NFP survey, 19 countries). Source:</w:t>
      </w:r>
      <w:r>
        <w:t xml:space="preserve"> </w:t>
      </w:r>
      <w:r>
        <w:rPr>
          <w:rStyle w:val="VerbatimChar"/>
        </w:rPr>
        <w:t xml:space="preserve">code/05_figures/fig_respicast_decision.R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5. The beneficiaries’ own ask is a rival for the budget.</w:t>
      </w:r>
      <w:r>
        <w:t xml:space="preserve"> </w:t>
      </w:r>
      <w:r>
        <w:t xml:space="preserve">The clearest single open comment is not a request to improve RespiCast but to fund national capacity: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An ECDC recommendation for MSs to have adequately resourced and funded national-level modelling capacity … A sustainable European funding mechanism … Supranational modelling is useful, but national-level capacity is required to respond to the needs of each MS.</w:t>
      </w:r>
      <w:r>
        <w:rPr>
          <w:iCs/>
          <w:i/>
        </w:rPr>
        <w:t xml:space="preserve">”</w:t>
      </w:r>
      <w:r>
        <w:t xml:space="preserve"> </w:t>
      </w:r>
      <w:r>
        <w:t xml:space="preserve">In least-cost terms this is a</w:t>
      </w:r>
      <w:r>
        <w:t xml:space="preserve"> </w:t>
      </w:r>
      <w:r>
        <w:rPr>
          <w:bCs/>
          <w:b/>
        </w:rPr>
        <w:t xml:space="preserve">challenger to the hub for the same money</w:t>
      </w:r>
      <w:r>
        <w:t xml:space="preserve">, and it is the beneficiaries’ stated preference. If 68%-no-modeller is the strongest survey argument</w:t>
      </w:r>
      <w:r>
        <w:t xml:space="preserve"> </w:t>
      </w:r>
      <w:r>
        <w:rPr>
          <w:iCs/>
          <w:i/>
        </w:rPr>
        <w:t xml:space="preserve">for</w:t>
      </w:r>
      <w:r>
        <w:t xml:space="preserve"> </w:t>
      </w:r>
      <w:r>
        <w:t xml:space="preserve">a central forecast, this is the strongest survey argument that the same budget might buy more capability by</w:t>
      </w:r>
      <w:r>
        <w:t xml:space="preserve"> </w:t>
      </w:r>
      <w:r>
        <w:rPr>
          <w:bCs/>
          <w:b/>
        </w:rPr>
        <w:t xml:space="preserve">funding national capacity</w:t>
      </w:r>
      <w:r>
        <w:t xml:space="preserve">. Both come from this survey; both belong before the decision.</w:t>
      </w:r>
    </w:p>
    <w:p>
      <w:pPr>
        <w:pStyle w:val="BodyText"/>
      </w:pPr>
      <w:r>
        <w:rPr>
          <w:bCs/>
          <w:b/>
        </w:rPr>
        <w:t xml:space="preserve">6. The improvement levers are cost lines, not free upside.</w:t>
      </w:r>
      <w:r>
        <w:t xml:space="preserve"> </w:t>
      </w:r>
      <w:r>
        <w:t xml:space="preserve">The changes the survey points to are</w:t>
      </w:r>
      <w:r>
        <w:t xml:space="preserve"> </w:t>
      </w:r>
      <w:r>
        <w:t xml:space="preserve">“</w:t>
      </w:r>
      <w:r>
        <w:t xml:space="preserve">continuation-evolved</w:t>
      </w:r>
      <w:r>
        <w:t xml:space="preserve">”</w:t>
      </w:r>
      <w:r>
        <w:t xml:space="preserve"> </w:t>
      </w:r>
      <w:r>
        <w:t xml:space="preserve">levers, each with an owner and non-trivial effort — costs the least-cost test must weigh, not benefits: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Lever the survey points 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Order-of-magnitude effort / where costed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Plain-language, interpretable outputs for non-modellers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ECDC (hub / comms)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Low–med; recurring editorial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Short training for NFP consumers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ECDC + NFPs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Med; recurring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Published skill / accuracy track-record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ECDC + contributor teams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Med; needs an evaluation pipeline — not a survey deliverable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 mechanism to use forecasts in national decisions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Member states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Med–high; largely a national process cost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National modelling capacity + funding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Member states / EU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High; budget-scale — a strategic alternative (§5), costed elsewhere</w:t>
            </w:r>
          </w:p>
        </w:tc>
      </w:tr>
    </w:tbl>
    <w:p>
      <w:pPr>
        <w:pStyle w:val="BodyText"/>
      </w:pPr>
      <w:r>
        <w:rPr>
          <w:bCs/>
          <w:b/>
        </w:rPr>
        <w:t xml:space="preserve">7. What this evidence does not speak to.</w:t>
      </w:r>
      <w:r>
        <w:t xml:space="preserve"> </w:t>
      </w:r>
      <w:r>
        <w:rPr>
          <w:bCs/>
          <w:b/>
        </w:rPr>
        <w:t xml:space="preserve">Actual use / uptake</w:t>
      </w:r>
      <w:r>
        <w:t xml:space="preserve"> </w:t>
      </w:r>
      <w:r>
        <w:t xml:space="preserve">(Q5 is</w:t>
      </w:r>
      <w:r>
        <w:t xml:space="preserve"> </w:t>
      </w:r>
      <w:r>
        <w:rPr>
          <w:iCs/>
          <w:i/>
        </w:rPr>
        <w:t xml:space="preserve">awareness</w:t>
      </w:r>
      <w:r>
        <w:t xml:space="preserve">; only the open text touches use); internal ECDC value (the ERVISS-integration interviews); surge / emergency-response capacity; forecast</w:t>
      </w:r>
      <w:r>
        <w:t xml:space="preserve"> </w:t>
      </w:r>
      <w:r>
        <w:rPr>
          <w:bCs/>
          <w:b/>
        </w:rPr>
        <w:t xml:space="preserve">accuracy or skill</w:t>
      </w:r>
      <w:r>
        <w:t xml:space="preserve"> </w:t>
      </w:r>
      <w:r>
        <w:t xml:space="preserve">(this is stated awareness, need and preference, not performance); the</w:t>
      </w:r>
      <w:r>
        <w:t xml:space="preserve"> </w:t>
      </w:r>
      <w:r>
        <w:rPr>
          <w:bCs/>
          <w:b/>
        </w:rPr>
        <w:t xml:space="preserve">contributor community</w:t>
      </w:r>
      <w:r>
        <w:t xml:space="preserve"> </w:t>
      </w:r>
      <w:r>
        <w:t xml:space="preserve">(~9 teams / 28 models — a different population); the hub-versus-simple-forecast cost question (§1); and anything</w:t>
      </w:r>
      <w:r>
        <w:t xml:space="preserve"> </w:t>
      </w:r>
      <w:r>
        <w:rPr>
          <w:bCs/>
          <w:b/>
        </w:rPr>
        <w:t xml:space="preserve">after 2024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8. Mapping onto the review’s options (considerations, not a recommendation).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Continuation, as-is</w:t>
      </w:r>
      <w:r>
        <w:t xml:space="preserve"> </w:t>
      </w:r>
      <w:r>
        <w:t xml:space="preserve">— supported only for</w:t>
      </w:r>
      <w:r>
        <w:t xml:space="preserve"> </w:t>
      </w:r>
      <w:r>
        <w:rPr>
          <w:iCs/>
          <w:i/>
        </w:rPr>
        <w:t xml:space="preserve">a</w:t>
      </w:r>
      <w:r>
        <w:t xml:space="preserve"> </w:t>
      </w:r>
      <w:r>
        <w:t xml:space="preserve">central forecast, not specifically for the multi-model hub; awareness modest and, given recency, likely to rise only toward the ~2.7 level of the older outputs.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Continuation, evolved</w:t>
      </w:r>
      <w:r>
        <w:t xml:space="preserve"> </w:t>
      </w:r>
      <w:r>
        <w:t xml:space="preserve">— the cheapest well-evidenced lever is closing the awareness/distribution gap among no-modeller countries; interpretability and a decision pathway follow, at cost (§6).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Descoping (core / modularise / caretaker / transfer)</w:t>
      </w:r>
      <w:r>
        <w:t xml:space="preserve"> </w:t>
      </w:r>
      <w:r>
        <w:t xml:space="preserve">— consistent with the undemanding stated use case (situational awareness; capacity-planning only 16%): a lighter product might serve it. The survey neither rules this in nor out — it does not compare the hub against a simpler forecast.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Termination</w:t>
      </w:r>
      <w:r>
        <w:t xml:space="preserve"> </w:t>
      </w:r>
      <w:r>
        <w:t xml:space="preserve">— not supported: 68%-no-modeller is a clear need for</w:t>
      </w:r>
      <w:r>
        <w:t xml:space="preserve"> </w:t>
      </w:r>
      <w:r>
        <w:rPr>
          <w:iCs/>
          <w:i/>
        </w:rPr>
        <w:t xml:space="preserve">some</w:t>
      </w:r>
      <w:r>
        <w:t xml:space="preserve"> </w:t>
      </w:r>
      <w:r>
        <w:t xml:space="preserve">central forecast; but</w:t>
      </w:r>
      <w:r>
        <w:t xml:space="preserve"> </w:t>
      </w:r>
      <w:r>
        <w:t xml:space="preserve">“</w:t>
      </w:r>
      <w:r>
        <w:t xml:space="preserve">some forecast</w:t>
      </w:r>
      <w:r>
        <w:t xml:space="preserve">”</w:t>
      </w:r>
      <w:r>
        <w:t xml:space="preserve"> </w:t>
      </w:r>
      <w:r>
        <w:t xml:space="preserve">is not</w:t>
      </w:r>
      <w:r>
        <w:t xml:space="preserve"> </w:t>
      </w:r>
      <w:r>
        <w:t xml:space="preserve">“</w:t>
      </w:r>
      <w:r>
        <w:t xml:space="preserve">this hub</w:t>
      </w:r>
      <w:r>
        <w:t xml:space="preserve">”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Rival use of funds</w:t>
      </w:r>
      <w:r>
        <w:t xml:space="preserve"> </w:t>
      </w:r>
      <w:r>
        <w:t xml:space="preserve">— the beneficiaries’ own funding ask (§5) is a live alternative for the same budget.</w:t>
      </w:r>
    </w:p>
    <w:p>
      <w:pPr>
        <w:pStyle w:val="FirstParagraph"/>
      </w:pPr>
      <w:r>
        <w:rPr>
          <w:iCs/>
          <w:i/>
        </w:rPr>
        <w:t xml:space="preserve">All figures and numbers are generated from the de-identified survey by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code/05_figures/fig_respicast_decision.R</w:t>
      </w:r>
      <w:r>
        <w:rPr>
          <w:iCs/>
          <w:i/>
        </w:rPr>
        <w:t xml:space="preserve">. Subgroup counts are single digits; percentages are indicative (±~5 points per country) and, given non-response, likely optimistic. The open comments add that forecasts are seen as more reliable and actionable than long-horizon scenarios — consistent with the §2a preference — but remain qualitative signal, not measured use.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23" Target="media/rId2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National Focal Point survey as evidence for the RespiCast review</dc:title>
  <dc:creator/>
  <cp:keywords/>
  <dcterms:created xsi:type="dcterms:W3CDTF">2026-07-22T08:44:01Z</dcterms:created>
  <dcterms:modified xsi:type="dcterms:W3CDTF">2026-07-22T08:44:01Z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