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A0698" w14:textId="11437CF3" w:rsidR="004833D3" w:rsidRPr="00D87CEC" w:rsidRDefault="004833D3" w:rsidP="00283EDC">
      <w:pPr>
        <w:ind w:left="720" w:hanging="360"/>
        <w:rPr>
          <w:rFonts w:ascii="Arial" w:hAnsi="Arial" w:cs="Arial"/>
          <w:b/>
          <w:bCs/>
          <w:color w:val="000000" w:themeColor="text1"/>
          <w:sz w:val="20"/>
          <w:szCs w:val="20"/>
        </w:rPr>
      </w:pPr>
      <w:r w:rsidRPr="00D87CEC">
        <w:rPr>
          <w:rFonts w:ascii="Arial" w:hAnsi="Arial" w:cs="Arial"/>
          <w:b/>
          <w:bCs/>
          <w:color w:val="000000" w:themeColor="text1"/>
          <w:sz w:val="20"/>
          <w:szCs w:val="20"/>
        </w:rPr>
        <w:t>References:</w:t>
      </w:r>
    </w:p>
    <w:p w14:paraId="5ECDA826" w14:textId="44B80EDD" w:rsidR="002472C0" w:rsidRPr="00D87CEC" w:rsidRDefault="002472C0" w:rsidP="00283EDC">
      <w:pPr>
        <w:pStyle w:val="NormalWeb"/>
        <w:numPr>
          <w:ilvl w:val="0"/>
          <w:numId w:val="2"/>
        </w:numPr>
        <w:rPr>
          <w:rFonts w:ascii="Arial" w:hAnsi="Arial" w:cs="Arial"/>
          <w:color w:val="000000" w:themeColor="text1"/>
          <w:sz w:val="20"/>
          <w:szCs w:val="20"/>
        </w:rPr>
      </w:pPr>
      <w:r w:rsidRPr="00D87CEC">
        <w:rPr>
          <w:rFonts w:ascii="Arial" w:hAnsi="Arial" w:cs="Arial"/>
          <w:color w:val="000000" w:themeColor="text1"/>
          <w:sz w:val="20"/>
          <w:szCs w:val="20"/>
        </w:rPr>
        <w:t>Jia et al. (2023) on anisotropy of nightlight measurements</w:t>
      </w:r>
    </w:p>
    <w:p w14:paraId="735598BD" w14:textId="77777777" w:rsidR="002472C0" w:rsidRPr="00D87CEC" w:rsidRDefault="002472C0" w:rsidP="00283EDC">
      <w:pPr>
        <w:pStyle w:val="NormalWeb"/>
        <w:numPr>
          <w:ilvl w:val="0"/>
          <w:numId w:val="2"/>
        </w:numPr>
        <w:rPr>
          <w:rFonts w:ascii="Arial" w:hAnsi="Arial" w:cs="Arial"/>
          <w:color w:val="000000" w:themeColor="text1"/>
          <w:sz w:val="20"/>
          <w:szCs w:val="20"/>
        </w:rPr>
      </w:pPr>
      <w:r w:rsidRPr="00D87CEC">
        <w:rPr>
          <w:rFonts w:ascii="Arial" w:hAnsi="Arial" w:cs="Arial"/>
          <w:color w:val="000000" w:themeColor="text1"/>
          <w:sz w:val="20"/>
          <w:szCs w:val="20"/>
        </w:rPr>
        <w:t>Hung et al. (2021) Changes in night sky brightness after a countywide LED retrofit (</w:t>
      </w:r>
      <w:proofErr w:type="spellStart"/>
      <w:r w:rsidRPr="00D87CEC">
        <w:rPr>
          <w:rFonts w:ascii="Arial" w:hAnsi="Arial" w:cs="Arial"/>
          <w:color w:val="000000" w:themeColor="text1"/>
          <w:sz w:val="20"/>
          <w:szCs w:val="20"/>
        </w:rPr>
        <w:t>ArXiv</w:t>
      </w:r>
      <w:proofErr w:type="spellEnd"/>
      <w:r w:rsidRPr="00D87CEC">
        <w:rPr>
          <w:rFonts w:ascii="Arial" w:hAnsi="Arial" w:cs="Arial"/>
          <w:color w:val="000000" w:themeColor="text1"/>
          <w:sz w:val="20"/>
          <w:szCs w:val="20"/>
        </w:rPr>
        <w:t>)</w:t>
      </w:r>
    </w:p>
    <w:p w14:paraId="6E136AEE" w14:textId="3F80A148" w:rsidR="002472C0" w:rsidRPr="00D87CEC" w:rsidRDefault="002472C0" w:rsidP="00283EDC">
      <w:pPr>
        <w:pStyle w:val="NormalWeb"/>
        <w:numPr>
          <w:ilvl w:val="0"/>
          <w:numId w:val="2"/>
        </w:numPr>
        <w:rPr>
          <w:rFonts w:ascii="Arial" w:hAnsi="Arial" w:cs="Arial"/>
          <w:color w:val="000000" w:themeColor="text1"/>
          <w:sz w:val="20"/>
          <w:szCs w:val="20"/>
        </w:rPr>
      </w:pPr>
      <w:r w:rsidRPr="00D87CEC">
        <w:rPr>
          <w:rFonts w:ascii="Arial" w:hAnsi="Arial" w:cs="Arial"/>
          <w:color w:val="000000" w:themeColor="text1"/>
          <w:sz w:val="20"/>
          <w:szCs w:val="20"/>
        </w:rPr>
        <w:t>Gibson et al. (2024) Are Disaster Impact Estimates Distorted by Errors in Popular Night-Time Lights Data?</w:t>
      </w:r>
    </w:p>
    <w:p w14:paraId="3AE6F239" w14:textId="77777777" w:rsidR="002472C0" w:rsidRPr="00D87CEC" w:rsidRDefault="002472C0" w:rsidP="00283EDC">
      <w:pPr>
        <w:numPr>
          <w:ilvl w:val="0"/>
          <w:numId w:val="2"/>
        </w:numPr>
        <w:spacing w:after="0" w:line="240" w:lineRule="auto"/>
        <w:rPr>
          <w:rFonts w:ascii="Arial" w:eastAsia="Times New Roman" w:hAnsi="Arial" w:cs="Arial"/>
          <w:color w:val="000000" w:themeColor="text1"/>
          <w:kern w:val="0"/>
          <w:sz w:val="20"/>
          <w:szCs w:val="20"/>
          <w:lang w:eastAsia="en-GB"/>
          <w14:ligatures w14:val="none"/>
        </w:rPr>
      </w:pPr>
      <w:proofErr w:type="spellStart"/>
      <w:r w:rsidRPr="00D87CEC">
        <w:rPr>
          <w:rFonts w:ascii="Arial" w:eastAsia="Times New Roman" w:hAnsi="Arial" w:cs="Arial"/>
          <w:color w:val="000000" w:themeColor="text1"/>
          <w:kern w:val="0"/>
          <w:sz w:val="20"/>
          <w:szCs w:val="20"/>
          <w:bdr w:val="none" w:sz="0" w:space="0" w:color="auto" w:frame="1"/>
          <w:lang w:eastAsia="en-GB"/>
          <w14:ligatures w14:val="none"/>
        </w:rPr>
        <w:t>Ghaffarian</w:t>
      </w:r>
      <w:proofErr w:type="spellEnd"/>
      <w:r w:rsidRPr="00D87CEC">
        <w:rPr>
          <w:rFonts w:ascii="Arial" w:eastAsia="Times New Roman" w:hAnsi="Arial" w:cs="Arial"/>
          <w:color w:val="000000" w:themeColor="text1"/>
          <w:kern w:val="0"/>
          <w:sz w:val="20"/>
          <w:szCs w:val="20"/>
          <w:bdr w:val="none" w:sz="0" w:space="0" w:color="auto" w:frame="1"/>
          <w:lang w:eastAsia="en-GB"/>
          <w14:ligatures w14:val="none"/>
        </w:rPr>
        <w:t>, S., Roy, D., Filatova, T. &amp; Kerle, N. (2021) Agent-based modelling of post-disaster recovery with remote sensing data. Computers, Environment and Urban Systems, 60, 15 p.</w:t>
      </w:r>
    </w:p>
    <w:p w14:paraId="48E742DC" w14:textId="77777777" w:rsidR="002472C0" w:rsidRPr="00D87CEC" w:rsidRDefault="002472C0" w:rsidP="00283EDC">
      <w:pPr>
        <w:numPr>
          <w:ilvl w:val="0"/>
          <w:numId w:val="2"/>
        </w:numPr>
        <w:spacing w:after="0" w:line="240" w:lineRule="auto"/>
        <w:rPr>
          <w:rFonts w:ascii="Arial" w:eastAsia="Times New Roman" w:hAnsi="Arial" w:cs="Arial"/>
          <w:color w:val="000000" w:themeColor="text1"/>
          <w:kern w:val="0"/>
          <w:sz w:val="20"/>
          <w:szCs w:val="20"/>
          <w:lang w:eastAsia="en-GB"/>
          <w14:ligatures w14:val="none"/>
        </w:rPr>
      </w:pPr>
      <w:proofErr w:type="spellStart"/>
      <w:r w:rsidRPr="00D87CEC">
        <w:rPr>
          <w:rFonts w:ascii="Arial" w:eastAsia="Times New Roman" w:hAnsi="Arial" w:cs="Arial"/>
          <w:color w:val="000000" w:themeColor="text1"/>
          <w:kern w:val="0"/>
          <w:sz w:val="20"/>
          <w:szCs w:val="20"/>
          <w:bdr w:val="none" w:sz="0" w:space="0" w:color="auto" w:frame="1"/>
          <w:lang w:eastAsia="en-GB"/>
          <w14:ligatures w14:val="none"/>
        </w:rPr>
        <w:t>Ghaffarian</w:t>
      </w:r>
      <w:proofErr w:type="spellEnd"/>
      <w:r w:rsidRPr="00D87CEC">
        <w:rPr>
          <w:rFonts w:ascii="Arial" w:eastAsia="Times New Roman" w:hAnsi="Arial" w:cs="Arial"/>
          <w:color w:val="000000" w:themeColor="text1"/>
          <w:kern w:val="0"/>
          <w:sz w:val="20"/>
          <w:szCs w:val="20"/>
          <w:bdr w:val="none" w:sz="0" w:space="0" w:color="auto" w:frame="1"/>
          <w:lang w:eastAsia="en-GB"/>
          <w14:ligatures w14:val="none"/>
        </w:rPr>
        <w:t xml:space="preserve">, S., </w:t>
      </w:r>
      <w:proofErr w:type="spellStart"/>
      <w:r w:rsidRPr="00D87CEC">
        <w:rPr>
          <w:rFonts w:ascii="Arial" w:eastAsia="Times New Roman" w:hAnsi="Arial" w:cs="Arial"/>
          <w:color w:val="000000" w:themeColor="text1"/>
          <w:kern w:val="0"/>
          <w:sz w:val="20"/>
          <w:szCs w:val="20"/>
          <w:bdr w:val="none" w:sz="0" w:space="0" w:color="auto" w:frame="1"/>
          <w:lang w:eastAsia="en-GB"/>
          <w14:ligatures w14:val="none"/>
        </w:rPr>
        <w:t>Farhadabad</w:t>
      </w:r>
      <w:proofErr w:type="spellEnd"/>
      <w:r w:rsidRPr="00D87CEC">
        <w:rPr>
          <w:rFonts w:ascii="Arial" w:eastAsia="Times New Roman" w:hAnsi="Arial" w:cs="Arial"/>
          <w:color w:val="000000" w:themeColor="text1"/>
          <w:kern w:val="0"/>
          <w:sz w:val="20"/>
          <w:szCs w:val="20"/>
          <w:bdr w:val="none" w:sz="0" w:space="0" w:color="auto" w:frame="1"/>
          <w:lang w:eastAsia="en-GB"/>
          <w14:ligatures w14:val="none"/>
        </w:rPr>
        <w:t>, A.R. &amp; Kerle, N. (2020) Post-disaster recovery monitoring with Google Earth Engine. International Journal of Geo-Information, 10(13), 4574.</w:t>
      </w:r>
    </w:p>
    <w:p w14:paraId="6AFCCDB5" w14:textId="77777777" w:rsidR="002472C0" w:rsidRPr="00D87CEC" w:rsidRDefault="002472C0" w:rsidP="00283EDC">
      <w:pPr>
        <w:numPr>
          <w:ilvl w:val="0"/>
          <w:numId w:val="2"/>
        </w:numPr>
        <w:spacing w:after="0" w:line="240" w:lineRule="auto"/>
        <w:rPr>
          <w:rFonts w:ascii="Arial" w:eastAsia="Times New Roman" w:hAnsi="Arial" w:cs="Arial"/>
          <w:color w:val="000000" w:themeColor="text1"/>
          <w:kern w:val="0"/>
          <w:sz w:val="20"/>
          <w:szCs w:val="20"/>
          <w:lang w:eastAsia="en-GB"/>
          <w14:ligatures w14:val="none"/>
        </w:rPr>
      </w:pPr>
      <w:proofErr w:type="spellStart"/>
      <w:r w:rsidRPr="00D87CEC">
        <w:rPr>
          <w:rFonts w:ascii="Arial" w:eastAsia="Times New Roman" w:hAnsi="Arial" w:cs="Arial"/>
          <w:color w:val="000000" w:themeColor="text1"/>
          <w:kern w:val="0"/>
          <w:sz w:val="20"/>
          <w:szCs w:val="20"/>
          <w:bdr w:val="none" w:sz="0" w:space="0" w:color="auto" w:frame="1"/>
          <w:lang w:eastAsia="en-GB"/>
          <w14:ligatures w14:val="none"/>
        </w:rPr>
        <w:t>Ghaffarian</w:t>
      </w:r>
      <w:proofErr w:type="spellEnd"/>
      <w:r w:rsidRPr="00D87CEC">
        <w:rPr>
          <w:rFonts w:ascii="Arial" w:eastAsia="Times New Roman" w:hAnsi="Arial" w:cs="Arial"/>
          <w:color w:val="000000" w:themeColor="text1"/>
          <w:kern w:val="0"/>
          <w:sz w:val="20"/>
          <w:szCs w:val="20"/>
          <w:bdr w:val="none" w:sz="0" w:space="0" w:color="auto" w:frame="1"/>
          <w:lang w:eastAsia="en-GB"/>
          <w14:ligatures w14:val="none"/>
        </w:rPr>
        <w:t xml:space="preserve">, S., Kerle, N., </w:t>
      </w:r>
      <w:proofErr w:type="spellStart"/>
      <w:r w:rsidRPr="00D87CEC">
        <w:rPr>
          <w:rFonts w:ascii="Arial" w:eastAsia="Times New Roman" w:hAnsi="Arial" w:cs="Arial"/>
          <w:color w:val="000000" w:themeColor="text1"/>
          <w:kern w:val="0"/>
          <w:sz w:val="20"/>
          <w:szCs w:val="20"/>
          <w:bdr w:val="none" w:sz="0" w:space="0" w:color="auto" w:frame="1"/>
          <w:lang w:eastAsia="en-GB"/>
          <w14:ligatures w14:val="none"/>
        </w:rPr>
        <w:t>Pasolli</w:t>
      </w:r>
      <w:proofErr w:type="spellEnd"/>
      <w:r w:rsidRPr="00D87CEC">
        <w:rPr>
          <w:rFonts w:ascii="Arial" w:eastAsia="Times New Roman" w:hAnsi="Arial" w:cs="Arial"/>
          <w:color w:val="000000" w:themeColor="text1"/>
          <w:kern w:val="0"/>
          <w:sz w:val="20"/>
          <w:szCs w:val="20"/>
          <w:bdr w:val="none" w:sz="0" w:space="0" w:color="auto" w:frame="1"/>
          <w:lang w:eastAsia="en-GB"/>
          <w14:ligatures w14:val="none"/>
        </w:rPr>
        <w:t xml:space="preserve">, E. &amp; Jokar Arsanjani, J. (2019) Post-disaster building database updating using automated deep learning with pre-disaster </w:t>
      </w:r>
      <w:proofErr w:type="spellStart"/>
      <w:r w:rsidRPr="00D87CEC">
        <w:rPr>
          <w:rFonts w:ascii="Arial" w:eastAsia="Times New Roman" w:hAnsi="Arial" w:cs="Arial"/>
          <w:color w:val="000000" w:themeColor="text1"/>
          <w:kern w:val="0"/>
          <w:sz w:val="20"/>
          <w:szCs w:val="20"/>
          <w:bdr w:val="none" w:sz="0" w:space="0" w:color="auto" w:frame="1"/>
          <w:lang w:eastAsia="en-GB"/>
          <w14:ligatures w14:val="none"/>
        </w:rPr>
        <w:t>Openstreetmap</w:t>
      </w:r>
      <w:proofErr w:type="spellEnd"/>
      <w:r w:rsidRPr="00D87CEC">
        <w:rPr>
          <w:rFonts w:ascii="Arial" w:eastAsia="Times New Roman" w:hAnsi="Arial" w:cs="Arial"/>
          <w:color w:val="000000" w:themeColor="text1"/>
          <w:kern w:val="0"/>
          <w:sz w:val="20"/>
          <w:szCs w:val="20"/>
          <w:bdr w:val="none" w:sz="0" w:space="0" w:color="auto" w:frame="1"/>
          <w:lang w:eastAsia="en-GB"/>
          <w14:ligatures w14:val="none"/>
        </w:rPr>
        <w:t xml:space="preserve"> and multi-temporal satellite data. Remote Sensing, 11(20), 2427.</w:t>
      </w:r>
    </w:p>
    <w:p w14:paraId="7F6C8625" w14:textId="77777777" w:rsidR="002472C0" w:rsidRPr="00D87CEC" w:rsidRDefault="002472C0" w:rsidP="00283EDC">
      <w:pPr>
        <w:numPr>
          <w:ilvl w:val="0"/>
          <w:numId w:val="2"/>
        </w:numPr>
        <w:spacing w:after="0" w:line="240" w:lineRule="auto"/>
        <w:rPr>
          <w:rFonts w:ascii="Arial" w:eastAsia="Times New Roman" w:hAnsi="Arial" w:cs="Arial"/>
          <w:color w:val="000000" w:themeColor="text1"/>
          <w:kern w:val="0"/>
          <w:sz w:val="20"/>
          <w:szCs w:val="20"/>
          <w:lang w:eastAsia="en-GB"/>
          <w14:ligatures w14:val="none"/>
        </w:rPr>
      </w:pPr>
      <w:proofErr w:type="spellStart"/>
      <w:r w:rsidRPr="00D87CEC">
        <w:rPr>
          <w:rFonts w:ascii="Arial" w:eastAsia="Times New Roman" w:hAnsi="Arial" w:cs="Arial"/>
          <w:color w:val="000000" w:themeColor="text1"/>
          <w:kern w:val="0"/>
          <w:sz w:val="20"/>
          <w:szCs w:val="20"/>
          <w:bdr w:val="none" w:sz="0" w:space="0" w:color="auto" w:frame="1"/>
          <w:lang w:eastAsia="en-GB"/>
          <w14:ligatures w14:val="none"/>
        </w:rPr>
        <w:t>Ghaffarian</w:t>
      </w:r>
      <w:proofErr w:type="spellEnd"/>
      <w:r w:rsidRPr="00D87CEC">
        <w:rPr>
          <w:rFonts w:ascii="Arial" w:eastAsia="Times New Roman" w:hAnsi="Arial" w:cs="Arial"/>
          <w:color w:val="000000" w:themeColor="text1"/>
          <w:kern w:val="0"/>
          <w:sz w:val="20"/>
          <w:szCs w:val="20"/>
          <w:bdr w:val="none" w:sz="0" w:space="0" w:color="auto" w:frame="1"/>
          <w:lang w:eastAsia="en-GB"/>
          <w14:ligatures w14:val="none"/>
        </w:rPr>
        <w:t>, S. &amp; Kerle, N. (2019) Towards post-disaster debris identification for precise damage and recovery assessments from UAV and satellite images. ISPRS Archives of the Photogrammetry, Remote Sensing and Spatial Information Sciences, 42(2/W13), 7 p.</w:t>
      </w:r>
    </w:p>
    <w:p w14:paraId="4BA0D1F1" w14:textId="77777777" w:rsidR="00290101" w:rsidRPr="00D87CEC" w:rsidRDefault="00290101" w:rsidP="00283EDC">
      <w:pPr>
        <w:rPr>
          <w:rFonts w:ascii="Arial" w:hAnsi="Arial" w:cs="Arial"/>
          <w:color w:val="000000" w:themeColor="text1"/>
          <w:sz w:val="20"/>
          <w:szCs w:val="20"/>
        </w:rPr>
      </w:pPr>
    </w:p>
    <w:sdt>
      <w:sdtPr>
        <w:rPr>
          <w:rFonts w:ascii="Arial" w:hAnsi="Arial" w:cs="Arial"/>
        </w:rPr>
        <w:id w:val="1693184852"/>
        <w:docPartObj>
          <w:docPartGallery w:val="Table of Contents"/>
          <w:docPartUnique/>
        </w:docPartObj>
      </w:sdtPr>
      <w:sdtEndPr>
        <w:rPr>
          <w:rFonts w:eastAsiaTheme="minorHAnsi"/>
          <w:noProof/>
          <w:color w:val="auto"/>
          <w:kern w:val="2"/>
          <w:sz w:val="24"/>
          <w:szCs w:val="24"/>
          <w:lang w:val="en-AU"/>
          <w14:ligatures w14:val="standardContextual"/>
        </w:rPr>
      </w:sdtEndPr>
      <w:sdtContent>
        <w:p w14:paraId="466AC6F3" w14:textId="34DD8CFA" w:rsidR="00290101" w:rsidRPr="001E4743" w:rsidRDefault="00290101">
          <w:pPr>
            <w:pStyle w:val="TOCHeading"/>
            <w:rPr>
              <w:rFonts w:ascii="Arial" w:hAnsi="Arial" w:cs="Arial"/>
              <w:b w:val="0"/>
              <w:bCs w:val="0"/>
              <w:sz w:val="20"/>
              <w:szCs w:val="20"/>
            </w:rPr>
          </w:pPr>
          <w:r w:rsidRPr="001E4743">
            <w:rPr>
              <w:rFonts w:ascii="Arial" w:hAnsi="Arial" w:cs="Arial"/>
              <w:b w:val="0"/>
              <w:bCs w:val="0"/>
              <w:sz w:val="20"/>
              <w:szCs w:val="20"/>
            </w:rPr>
            <w:t>Table of Contents</w:t>
          </w:r>
        </w:p>
        <w:p w14:paraId="4D408156" w14:textId="1CC577EF" w:rsidR="00765937" w:rsidRPr="001E4743" w:rsidRDefault="00290101">
          <w:pPr>
            <w:pStyle w:val="TOC1"/>
            <w:tabs>
              <w:tab w:val="right" w:leader="dot" w:pos="9016"/>
            </w:tabs>
            <w:rPr>
              <w:rFonts w:eastAsiaTheme="minorEastAsia"/>
              <w:b w:val="0"/>
              <w:bCs w:val="0"/>
              <w:i w:val="0"/>
              <w:iCs w:val="0"/>
              <w:noProof/>
              <w:sz w:val="20"/>
              <w:szCs w:val="20"/>
              <w:lang w:val="en-US"/>
            </w:rPr>
          </w:pPr>
          <w:r w:rsidRPr="001E4743">
            <w:rPr>
              <w:rFonts w:ascii="Arial" w:hAnsi="Arial" w:cs="Arial"/>
              <w:b w:val="0"/>
              <w:bCs w:val="0"/>
              <w:sz w:val="20"/>
              <w:szCs w:val="20"/>
            </w:rPr>
            <w:fldChar w:fldCharType="begin"/>
          </w:r>
          <w:r w:rsidRPr="001E4743">
            <w:rPr>
              <w:rFonts w:ascii="Arial" w:hAnsi="Arial" w:cs="Arial"/>
              <w:b w:val="0"/>
              <w:bCs w:val="0"/>
              <w:sz w:val="20"/>
              <w:szCs w:val="20"/>
            </w:rPr>
            <w:instrText xml:space="preserve"> TOC \o "1-3" \h \z \u </w:instrText>
          </w:r>
          <w:r w:rsidRPr="001E4743">
            <w:rPr>
              <w:rFonts w:ascii="Arial" w:hAnsi="Arial" w:cs="Arial"/>
              <w:b w:val="0"/>
              <w:bCs w:val="0"/>
              <w:sz w:val="20"/>
              <w:szCs w:val="20"/>
            </w:rPr>
            <w:fldChar w:fldCharType="separate"/>
          </w:r>
          <w:hyperlink w:anchor="_Toc234318899" w:history="1">
            <w:r w:rsidR="00765937" w:rsidRPr="001E4743">
              <w:rPr>
                <w:rStyle w:val="Hyperlink"/>
                <w:rFonts w:ascii="Arial" w:hAnsi="Arial" w:cs="Arial"/>
                <w:b w:val="0"/>
                <w:bCs w:val="0"/>
                <w:noProof/>
                <w:sz w:val="20"/>
                <w:szCs w:val="20"/>
              </w:rPr>
              <w:t>1. Chapter 1 review: disaster risk management and post-disaster recovery concepts</w:t>
            </w:r>
            <w:r w:rsidR="00765937" w:rsidRPr="001E4743">
              <w:rPr>
                <w:b w:val="0"/>
                <w:bCs w:val="0"/>
                <w:noProof/>
                <w:webHidden/>
                <w:sz w:val="20"/>
                <w:szCs w:val="20"/>
              </w:rPr>
              <w:tab/>
            </w:r>
            <w:r w:rsidR="00765937" w:rsidRPr="001E4743">
              <w:rPr>
                <w:b w:val="0"/>
                <w:bCs w:val="0"/>
                <w:noProof/>
                <w:webHidden/>
                <w:sz w:val="20"/>
                <w:szCs w:val="20"/>
              </w:rPr>
              <w:fldChar w:fldCharType="begin"/>
            </w:r>
            <w:r w:rsidR="00765937" w:rsidRPr="001E4743">
              <w:rPr>
                <w:b w:val="0"/>
                <w:bCs w:val="0"/>
                <w:noProof/>
                <w:webHidden/>
                <w:sz w:val="20"/>
                <w:szCs w:val="20"/>
              </w:rPr>
              <w:instrText xml:space="preserve"> PAGEREF _Toc234318899 \h </w:instrText>
            </w:r>
            <w:r w:rsidR="00765937" w:rsidRPr="001E4743">
              <w:rPr>
                <w:b w:val="0"/>
                <w:bCs w:val="0"/>
                <w:noProof/>
                <w:webHidden/>
                <w:sz w:val="20"/>
                <w:szCs w:val="20"/>
              </w:rPr>
            </w:r>
            <w:r w:rsidR="00765937" w:rsidRPr="001E4743">
              <w:rPr>
                <w:b w:val="0"/>
                <w:bCs w:val="0"/>
                <w:noProof/>
                <w:webHidden/>
                <w:sz w:val="20"/>
                <w:szCs w:val="20"/>
              </w:rPr>
              <w:fldChar w:fldCharType="separate"/>
            </w:r>
            <w:r w:rsidR="00765937" w:rsidRPr="001E4743">
              <w:rPr>
                <w:b w:val="0"/>
                <w:bCs w:val="0"/>
                <w:noProof/>
                <w:webHidden/>
                <w:sz w:val="20"/>
                <w:szCs w:val="20"/>
              </w:rPr>
              <w:t>3</w:t>
            </w:r>
            <w:r w:rsidR="00765937" w:rsidRPr="001E4743">
              <w:rPr>
                <w:b w:val="0"/>
                <w:bCs w:val="0"/>
                <w:noProof/>
                <w:webHidden/>
                <w:sz w:val="20"/>
                <w:szCs w:val="20"/>
              </w:rPr>
              <w:fldChar w:fldCharType="end"/>
            </w:r>
          </w:hyperlink>
        </w:p>
        <w:p w14:paraId="3EAEAF83" w14:textId="5A270845" w:rsidR="00765937" w:rsidRPr="001E4743" w:rsidRDefault="00765937">
          <w:pPr>
            <w:pStyle w:val="TOC2"/>
            <w:tabs>
              <w:tab w:val="right" w:leader="dot" w:pos="9016"/>
            </w:tabs>
            <w:rPr>
              <w:rFonts w:eastAsiaTheme="minorEastAsia"/>
              <w:b w:val="0"/>
              <w:bCs w:val="0"/>
              <w:noProof/>
              <w:sz w:val="20"/>
              <w:szCs w:val="20"/>
              <w:lang w:val="en-US"/>
            </w:rPr>
          </w:pPr>
          <w:hyperlink w:anchor="_Toc234318900" w:history="1">
            <w:r w:rsidRPr="001E4743">
              <w:rPr>
                <w:rStyle w:val="Hyperlink"/>
                <w:rFonts w:ascii="Arial" w:hAnsi="Arial" w:cs="Arial"/>
                <w:b w:val="0"/>
                <w:bCs w:val="0"/>
                <w:noProof/>
                <w:sz w:val="20"/>
                <w:szCs w:val="20"/>
              </w:rPr>
              <w:t>1.2 Core formulas and t</w:t>
            </w:r>
            <w:r w:rsidRPr="001E4743">
              <w:rPr>
                <w:rStyle w:val="Hyperlink"/>
                <w:rFonts w:ascii="Arial" w:hAnsi="Arial" w:cs="Arial"/>
                <w:b w:val="0"/>
                <w:bCs w:val="0"/>
                <w:noProof/>
                <w:sz w:val="20"/>
                <w:szCs w:val="20"/>
              </w:rPr>
              <w:t>h</w:t>
            </w:r>
            <w:r w:rsidRPr="001E4743">
              <w:rPr>
                <w:rStyle w:val="Hyperlink"/>
                <w:rFonts w:ascii="Arial" w:hAnsi="Arial" w:cs="Arial"/>
                <w:b w:val="0"/>
                <w:bCs w:val="0"/>
                <w:noProof/>
                <w:sz w:val="20"/>
                <w:szCs w:val="20"/>
              </w:rPr>
              <w:t>eir interpretation</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_Toc234318900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4</w:t>
            </w:r>
            <w:r w:rsidRPr="001E4743">
              <w:rPr>
                <w:b w:val="0"/>
                <w:bCs w:val="0"/>
                <w:noProof/>
                <w:webHidden/>
                <w:sz w:val="20"/>
                <w:szCs w:val="20"/>
              </w:rPr>
              <w:fldChar w:fldCharType="end"/>
            </w:r>
          </w:hyperlink>
        </w:p>
        <w:p w14:paraId="4E900450" w14:textId="779C532E" w:rsidR="00765937" w:rsidRPr="001E4743" w:rsidRDefault="00765937">
          <w:pPr>
            <w:pStyle w:val="TOC2"/>
            <w:tabs>
              <w:tab w:val="right" w:leader="dot" w:pos="9016"/>
            </w:tabs>
            <w:rPr>
              <w:rFonts w:eastAsiaTheme="minorEastAsia"/>
              <w:b w:val="0"/>
              <w:bCs w:val="0"/>
              <w:noProof/>
              <w:sz w:val="20"/>
              <w:szCs w:val="20"/>
              <w:lang w:val="en-US"/>
            </w:rPr>
          </w:pPr>
          <w:hyperlink w:anchor="_Toc234318901" w:history="1">
            <w:r w:rsidRPr="001E4743">
              <w:rPr>
                <w:rStyle w:val="Hyperlink"/>
                <w:rFonts w:ascii="Arial" w:hAnsi="Arial" w:cs="Arial"/>
                <w:b w:val="0"/>
                <w:bCs w:val="0"/>
                <w:noProof/>
                <w:sz w:val="20"/>
                <w:szCs w:val="20"/>
              </w:rPr>
              <w:t>1.3 Recovery, reconstruction, rehabilitation, and resilience: why the distinctions matter</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_Toc234318901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4</w:t>
            </w:r>
            <w:r w:rsidRPr="001E4743">
              <w:rPr>
                <w:b w:val="0"/>
                <w:bCs w:val="0"/>
                <w:noProof/>
                <w:webHidden/>
                <w:sz w:val="20"/>
                <w:szCs w:val="20"/>
              </w:rPr>
              <w:fldChar w:fldCharType="end"/>
            </w:r>
          </w:hyperlink>
        </w:p>
        <w:p w14:paraId="06025518" w14:textId="23D8D21B" w:rsidR="00765937" w:rsidRPr="001E4743" w:rsidRDefault="00765937">
          <w:pPr>
            <w:pStyle w:val="TOC2"/>
            <w:tabs>
              <w:tab w:val="right" w:leader="dot" w:pos="9016"/>
            </w:tabs>
            <w:rPr>
              <w:rFonts w:eastAsiaTheme="minorEastAsia"/>
              <w:b w:val="0"/>
              <w:bCs w:val="0"/>
              <w:noProof/>
              <w:sz w:val="20"/>
              <w:szCs w:val="20"/>
              <w:lang w:val="en-US"/>
            </w:rPr>
          </w:pPr>
          <w:hyperlink w:anchor="_Toc234318902" w:history="1">
            <w:r w:rsidRPr="001E4743">
              <w:rPr>
                <w:rStyle w:val="Hyperlink"/>
                <w:rFonts w:ascii="Arial" w:hAnsi="Arial" w:cs="Arial"/>
                <w:b w:val="0"/>
                <w:bCs w:val="0"/>
                <w:noProof/>
                <w:sz w:val="20"/>
                <w:szCs w:val="20"/>
              </w:rPr>
              <w:t>1.4 Remote sensing logic in Chapter 1</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_Toc234318902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4</w:t>
            </w:r>
            <w:r w:rsidRPr="001E4743">
              <w:rPr>
                <w:b w:val="0"/>
                <w:bCs w:val="0"/>
                <w:noProof/>
                <w:webHidden/>
                <w:sz w:val="20"/>
                <w:szCs w:val="20"/>
              </w:rPr>
              <w:fldChar w:fldCharType="end"/>
            </w:r>
          </w:hyperlink>
        </w:p>
        <w:p w14:paraId="22874001" w14:textId="566E7D6B" w:rsidR="00765937" w:rsidRPr="001E4743" w:rsidRDefault="00765937">
          <w:pPr>
            <w:pStyle w:val="TOC2"/>
            <w:tabs>
              <w:tab w:val="right" w:leader="dot" w:pos="9016"/>
            </w:tabs>
            <w:rPr>
              <w:rFonts w:eastAsiaTheme="minorEastAsia"/>
              <w:b w:val="0"/>
              <w:bCs w:val="0"/>
              <w:noProof/>
              <w:sz w:val="20"/>
              <w:szCs w:val="20"/>
              <w:lang w:val="en-US"/>
            </w:rPr>
          </w:pPr>
          <w:hyperlink w:anchor="_Toc234318903" w:history="1">
            <w:r w:rsidRPr="001E4743">
              <w:rPr>
                <w:rStyle w:val="Hyperlink"/>
                <w:rFonts w:ascii="Arial" w:hAnsi="Arial" w:cs="Arial"/>
                <w:b w:val="0"/>
                <w:bCs w:val="0"/>
                <w:noProof/>
                <w:sz w:val="20"/>
                <w:szCs w:val="20"/>
              </w:rPr>
              <w:t>1.5 Nighttime lights in Chapter 1</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_Toc234318903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5</w:t>
            </w:r>
            <w:r w:rsidRPr="001E4743">
              <w:rPr>
                <w:b w:val="0"/>
                <w:bCs w:val="0"/>
                <w:noProof/>
                <w:webHidden/>
                <w:sz w:val="20"/>
                <w:szCs w:val="20"/>
              </w:rPr>
              <w:fldChar w:fldCharType="end"/>
            </w:r>
          </w:hyperlink>
        </w:p>
        <w:p w14:paraId="39AF2860" w14:textId="71E7A384" w:rsidR="00765937" w:rsidRPr="001E4743" w:rsidRDefault="00765937">
          <w:pPr>
            <w:pStyle w:val="TOC1"/>
            <w:tabs>
              <w:tab w:val="right" w:leader="dot" w:pos="9016"/>
            </w:tabs>
            <w:rPr>
              <w:rFonts w:eastAsiaTheme="minorEastAsia"/>
              <w:b w:val="0"/>
              <w:bCs w:val="0"/>
              <w:i w:val="0"/>
              <w:iCs w:val="0"/>
              <w:noProof/>
              <w:sz w:val="20"/>
              <w:szCs w:val="20"/>
              <w:lang w:val="en-US"/>
            </w:rPr>
          </w:pPr>
          <w:hyperlink w:anchor="_Toc234318904" w:history="1">
            <w:r w:rsidRPr="001E4743">
              <w:rPr>
                <w:rStyle w:val="Hyperlink"/>
                <w:rFonts w:ascii="Arial" w:hAnsi="Arial" w:cs="Arial"/>
                <w:b w:val="0"/>
                <w:bCs w:val="0"/>
                <w:noProof/>
                <w:sz w:val="20"/>
                <w:szCs w:val="20"/>
              </w:rPr>
              <w:t>2. Chapter 2 review: remote sensing-based proxies for urban DRM and resilience</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_Toc234318904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5</w:t>
            </w:r>
            <w:r w:rsidRPr="001E4743">
              <w:rPr>
                <w:b w:val="0"/>
                <w:bCs w:val="0"/>
                <w:noProof/>
                <w:webHidden/>
                <w:sz w:val="20"/>
                <w:szCs w:val="20"/>
              </w:rPr>
              <w:fldChar w:fldCharType="end"/>
            </w:r>
          </w:hyperlink>
        </w:p>
        <w:p w14:paraId="0FACC5B1" w14:textId="62C7945D" w:rsidR="00765937" w:rsidRPr="001E4743" w:rsidRDefault="00765937">
          <w:pPr>
            <w:pStyle w:val="TOC2"/>
            <w:tabs>
              <w:tab w:val="right" w:leader="dot" w:pos="9016"/>
            </w:tabs>
            <w:rPr>
              <w:rFonts w:eastAsiaTheme="minorEastAsia"/>
              <w:b w:val="0"/>
              <w:bCs w:val="0"/>
              <w:noProof/>
              <w:sz w:val="20"/>
              <w:szCs w:val="20"/>
              <w:lang w:val="en-US"/>
            </w:rPr>
          </w:pPr>
          <w:hyperlink w:anchor="_Toc234318905" w:history="1">
            <w:r w:rsidRPr="001E4743">
              <w:rPr>
                <w:rStyle w:val="Hyperlink"/>
                <w:rFonts w:ascii="Arial" w:hAnsi="Arial" w:cs="Arial"/>
                <w:b w:val="0"/>
                <w:bCs w:val="0"/>
                <w:noProof/>
                <w:sz w:val="20"/>
                <w:szCs w:val="20"/>
              </w:rPr>
              <w:t>2.1 Definition of a proxy in remote sensing</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_Toc234318905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5</w:t>
            </w:r>
            <w:r w:rsidRPr="001E4743">
              <w:rPr>
                <w:b w:val="0"/>
                <w:bCs w:val="0"/>
                <w:noProof/>
                <w:webHidden/>
                <w:sz w:val="20"/>
                <w:szCs w:val="20"/>
              </w:rPr>
              <w:fldChar w:fldCharType="end"/>
            </w:r>
          </w:hyperlink>
        </w:p>
        <w:p w14:paraId="7228D078" w14:textId="462AA58E" w:rsidR="00765937" w:rsidRPr="001E4743" w:rsidRDefault="00765937">
          <w:pPr>
            <w:pStyle w:val="TOC2"/>
            <w:tabs>
              <w:tab w:val="right" w:leader="dot" w:pos="9016"/>
            </w:tabs>
            <w:rPr>
              <w:rFonts w:eastAsiaTheme="minorEastAsia"/>
              <w:b w:val="0"/>
              <w:bCs w:val="0"/>
              <w:noProof/>
              <w:sz w:val="20"/>
              <w:szCs w:val="20"/>
              <w:lang w:val="en-US"/>
            </w:rPr>
          </w:pPr>
          <w:hyperlink w:anchor="_Toc234318906" w:history="1">
            <w:r w:rsidRPr="001E4743">
              <w:rPr>
                <w:rStyle w:val="Hyperlink"/>
                <w:rFonts w:ascii="Arial" w:hAnsi="Arial" w:cs="Arial"/>
                <w:b w:val="0"/>
                <w:bCs w:val="0"/>
                <w:noProof/>
                <w:sz w:val="20"/>
                <w:szCs w:val="20"/>
              </w:rPr>
              <w:t>2.2 Proxy taxonomy: four environments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_Toc234318906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5</w:t>
            </w:r>
            <w:r w:rsidRPr="001E4743">
              <w:rPr>
                <w:b w:val="0"/>
                <w:bCs w:val="0"/>
                <w:noProof/>
                <w:webHidden/>
                <w:sz w:val="20"/>
                <w:szCs w:val="20"/>
              </w:rPr>
              <w:fldChar w:fldCharType="end"/>
            </w:r>
          </w:hyperlink>
        </w:p>
        <w:p w14:paraId="22D27C23" w14:textId="385932E1" w:rsidR="00765937" w:rsidRPr="001E4743" w:rsidRDefault="00765937">
          <w:pPr>
            <w:pStyle w:val="TOC2"/>
            <w:tabs>
              <w:tab w:val="right" w:leader="dot" w:pos="9016"/>
            </w:tabs>
            <w:rPr>
              <w:rFonts w:eastAsiaTheme="minorEastAsia"/>
              <w:b w:val="0"/>
              <w:bCs w:val="0"/>
              <w:noProof/>
              <w:sz w:val="20"/>
              <w:szCs w:val="20"/>
              <w:lang w:val="en-US"/>
            </w:rPr>
          </w:pPr>
          <w:hyperlink w:anchor="_Toc234318907" w:history="1">
            <w:r w:rsidRPr="001E4743">
              <w:rPr>
                <w:rStyle w:val="Hyperlink"/>
                <w:rFonts w:ascii="Arial" w:hAnsi="Arial" w:cs="Arial"/>
                <w:b w:val="0"/>
                <w:bCs w:val="0"/>
                <w:noProof/>
                <w:sz w:val="20"/>
                <w:szCs w:val="20"/>
              </w:rPr>
              <w:t>2.3 Built-up proxies and their relevance to RQ2</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_Toc234318907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6</w:t>
            </w:r>
            <w:r w:rsidRPr="001E4743">
              <w:rPr>
                <w:b w:val="0"/>
                <w:bCs w:val="0"/>
                <w:noProof/>
                <w:webHidden/>
                <w:sz w:val="20"/>
                <w:szCs w:val="20"/>
              </w:rPr>
              <w:fldChar w:fldCharType="end"/>
            </w:r>
          </w:hyperlink>
        </w:p>
        <w:p w14:paraId="7FF11DCF" w14:textId="49103F40" w:rsidR="00765937" w:rsidRPr="001E4743" w:rsidRDefault="00765937">
          <w:pPr>
            <w:pStyle w:val="TOC2"/>
            <w:tabs>
              <w:tab w:val="right" w:leader="dot" w:pos="9016"/>
            </w:tabs>
            <w:rPr>
              <w:rFonts w:eastAsiaTheme="minorEastAsia"/>
              <w:b w:val="0"/>
              <w:bCs w:val="0"/>
              <w:noProof/>
              <w:sz w:val="20"/>
              <w:szCs w:val="20"/>
              <w:lang w:val="en-US"/>
            </w:rPr>
          </w:pPr>
          <w:hyperlink w:anchor="_Toc234318908" w:history="1">
            <w:r w:rsidRPr="001E4743">
              <w:rPr>
                <w:rStyle w:val="Hyperlink"/>
                <w:rFonts w:ascii="Arial" w:hAnsi="Arial" w:cs="Arial"/>
                <w:b w:val="0"/>
                <w:bCs w:val="0"/>
                <w:noProof/>
                <w:sz w:val="20"/>
                <w:szCs w:val="20"/>
              </w:rPr>
              <w:t>2.4 Economic proxies: where nighttime lights enters the thesis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_Toc234318908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6</w:t>
            </w:r>
            <w:r w:rsidRPr="001E4743">
              <w:rPr>
                <w:b w:val="0"/>
                <w:bCs w:val="0"/>
                <w:noProof/>
                <w:webHidden/>
                <w:sz w:val="20"/>
                <w:szCs w:val="20"/>
              </w:rPr>
              <w:fldChar w:fldCharType="end"/>
            </w:r>
          </w:hyperlink>
        </w:p>
        <w:p w14:paraId="601178E5" w14:textId="23FCCB22" w:rsidR="00765937" w:rsidRPr="001E4743" w:rsidRDefault="00765937">
          <w:pPr>
            <w:pStyle w:val="TOC2"/>
            <w:tabs>
              <w:tab w:val="right" w:leader="dot" w:pos="9016"/>
            </w:tabs>
            <w:rPr>
              <w:rFonts w:eastAsiaTheme="minorEastAsia"/>
              <w:b w:val="0"/>
              <w:bCs w:val="0"/>
              <w:noProof/>
              <w:sz w:val="20"/>
              <w:szCs w:val="20"/>
              <w:lang w:val="en-US"/>
            </w:rPr>
          </w:pPr>
          <w:hyperlink w:anchor="_Toc234318909" w:history="1">
            <w:r w:rsidRPr="001E4743">
              <w:rPr>
                <w:rStyle w:val="Hyperlink"/>
                <w:rFonts w:ascii="Arial" w:hAnsi="Arial" w:cs="Arial"/>
                <w:b w:val="0"/>
                <w:bCs w:val="0"/>
                <w:noProof/>
                <w:sz w:val="20"/>
                <w:szCs w:val="20"/>
              </w:rPr>
              <w:t>2.5 Social proxies and the GHSL bridge</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_Toc234318909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7</w:t>
            </w:r>
            <w:r w:rsidRPr="001E4743">
              <w:rPr>
                <w:b w:val="0"/>
                <w:bCs w:val="0"/>
                <w:noProof/>
                <w:webHidden/>
                <w:sz w:val="20"/>
                <w:szCs w:val="20"/>
              </w:rPr>
              <w:fldChar w:fldCharType="end"/>
            </w:r>
          </w:hyperlink>
        </w:p>
        <w:p w14:paraId="1957DC36" w14:textId="7061532E" w:rsidR="00765937" w:rsidRPr="001E4743" w:rsidRDefault="00765937">
          <w:pPr>
            <w:pStyle w:val="TOC2"/>
            <w:tabs>
              <w:tab w:val="right" w:leader="dot" w:pos="9016"/>
            </w:tabs>
            <w:rPr>
              <w:rFonts w:eastAsiaTheme="minorEastAsia"/>
              <w:b w:val="0"/>
              <w:bCs w:val="0"/>
              <w:noProof/>
              <w:sz w:val="20"/>
              <w:szCs w:val="20"/>
              <w:lang w:val="en-US"/>
            </w:rPr>
          </w:pPr>
          <w:hyperlink w:anchor="_Toc234318910" w:history="1">
            <w:r w:rsidRPr="001E4743">
              <w:rPr>
                <w:rStyle w:val="Hyperlink"/>
                <w:rFonts w:ascii="Arial" w:hAnsi="Arial" w:cs="Arial"/>
                <w:b w:val="0"/>
                <w:bCs w:val="0"/>
                <w:noProof/>
                <w:sz w:val="20"/>
                <w:szCs w:val="20"/>
              </w:rPr>
              <w:t>2.6 Natural proxies and limits of nighttime lights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_Toc234318910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7</w:t>
            </w:r>
            <w:r w:rsidRPr="001E4743">
              <w:rPr>
                <w:b w:val="0"/>
                <w:bCs w:val="0"/>
                <w:noProof/>
                <w:webHidden/>
                <w:sz w:val="20"/>
                <w:szCs w:val="20"/>
              </w:rPr>
              <w:fldChar w:fldCharType="end"/>
            </w:r>
          </w:hyperlink>
        </w:p>
        <w:p w14:paraId="5AA7B020" w14:textId="68016C9E" w:rsidR="00765937" w:rsidRPr="001E4743" w:rsidRDefault="00765937">
          <w:pPr>
            <w:pStyle w:val="TOC2"/>
            <w:tabs>
              <w:tab w:val="right" w:leader="dot" w:pos="9016"/>
            </w:tabs>
            <w:rPr>
              <w:rFonts w:eastAsiaTheme="minorEastAsia"/>
              <w:b w:val="0"/>
              <w:bCs w:val="0"/>
              <w:noProof/>
              <w:sz w:val="20"/>
              <w:szCs w:val="20"/>
              <w:lang w:val="en-US"/>
            </w:rPr>
          </w:pPr>
          <w:hyperlink w:anchor="_Toc234318911" w:history="1">
            <w:r w:rsidRPr="001E4743">
              <w:rPr>
                <w:rStyle w:val="Hyperlink"/>
                <w:rFonts w:ascii="Arial" w:hAnsi="Arial" w:cs="Arial"/>
                <w:b w:val="0"/>
                <w:bCs w:val="0"/>
                <w:noProof/>
                <w:sz w:val="20"/>
                <w:szCs w:val="20"/>
              </w:rPr>
              <w:t>2.7 Chapter 2 critique: why proxy reliability matters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_Toc234318911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7</w:t>
            </w:r>
            <w:r w:rsidRPr="001E4743">
              <w:rPr>
                <w:b w:val="0"/>
                <w:bCs w:val="0"/>
                <w:noProof/>
                <w:webHidden/>
                <w:sz w:val="20"/>
                <w:szCs w:val="20"/>
              </w:rPr>
              <w:fldChar w:fldCharType="end"/>
            </w:r>
          </w:hyperlink>
        </w:p>
        <w:p w14:paraId="6E1C916A" w14:textId="2E5B6008" w:rsidR="00765937" w:rsidRPr="001E4743" w:rsidRDefault="00765937">
          <w:pPr>
            <w:pStyle w:val="TOC1"/>
            <w:tabs>
              <w:tab w:val="right" w:leader="dot" w:pos="9016"/>
            </w:tabs>
            <w:rPr>
              <w:rFonts w:eastAsiaTheme="minorEastAsia"/>
              <w:b w:val="0"/>
              <w:bCs w:val="0"/>
              <w:i w:val="0"/>
              <w:iCs w:val="0"/>
              <w:noProof/>
              <w:sz w:val="20"/>
              <w:szCs w:val="20"/>
              <w:lang w:val="en-US"/>
            </w:rPr>
          </w:pPr>
          <w:hyperlink w:anchor="_Toc234318912" w:history="1">
            <w:r w:rsidRPr="001E4743">
              <w:rPr>
                <w:rStyle w:val="Hyperlink"/>
                <w:rFonts w:ascii="Arial" w:hAnsi="Arial" w:cs="Arial"/>
                <w:b w:val="0"/>
                <w:bCs w:val="0"/>
                <w:noProof/>
                <w:sz w:val="20"/>
                <w:szCs w:val="20"/>
              </w:rPr>
              <w:t>3. Chapter 3 review: conceptual framework and multi-temporal recovery assessment</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_Toc234318912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8</w:t>
            </w:r>
            <w:r w:rsidRPr="001E4743">
              <w:rPr>
                <w:b w:val="0"/>
                <w:bCs w:val="0"/>
                <w:noProof/>
                <w:webHidden/>
                <w:sz w:val="20"/>
                <w:szCs w:val="20"/>
              </w:rPr>
              <w:fldChar w:fldCharType="end"/>
            </w:r>
          </w:hyperlink>
        </w:p>
        <w:p w14:paraId="59038EE2" w14:textId="7CF2B7DD" w:rsidR="00765937" w:rsidRPr="001E4743" w:rsidRDefault="00765937">
          <w:pPr>
            <w:pStyle w:val="TOC2"/>
            <w:tabs>
              <w:tab w:val="right" w:leader="dot" w:pos="9016"/>
            </w:tabs>
            <w:rPr>
              <w:rFonts w:eastAsiaTheme="minorEastAsia"/>
              <w:b w:val="0"/>
              <w:bCs w:val="0"/>
              <w:noProof/>
              <w:sz w:val="20"/>
              <w:szCs w:val="20"/>
              <w:lang w:val="en-US"/>
            </w:rPr>
          </w:pPr>
          <w:hyperlink w:anchor="_Toc234318913" w:history="1">
            <w:r w:rsidRPr="001E4743">
              <w:rPr>
                <w:rStyle w:val="Hyperlink"/>
                <w:rFonts w:ascii="Arial" w:hAnsi="Arial" w:cs="Arial"/>
                <w:b w:val="0"/>
                <w:bCs w:val="0"/>
                <w:noProof/>
                <w:sz w:val="20"/>
                <w:szCs w:val="20"/>
              </w:rPr>
              <w:t>3.1 Study design and conceptual model</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_Toc234318913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8</w:t>
            </w:r>
            <w:r w:rsidRPr="001E4743">
              <w:rPr>
                <w:b w:val="0"/>
                <w:bCs w:val="0"/>
                <w:noProof/>
                <w:webHidden/>
                <w:sz w:val="20"/>
                <w:szCs w:val="20"/>
              </w:rPr>
              <w:fldChar w:fldCharType="end"/>
            </w:r>
          </w:hyperlink>
        </w:p>
        <w:p w14:paraId="788D6C35" w14:textId="25637725" w:rsidR="00765937" w:rsidRPr="001E4743" w:rsidRDefault="00765937">
          <w:pPr>
            <w:pStyle w:val="TOC2"/>
            <w:tabs>
              <w:tab w:val="right" w:leader="dot" w:pos="9016"/>
            </w:tabs>
            <w:rPr>
              <w:rFonts w:eastAsiaTheme="minorEastAsia"/>
              <w:b w:val="0"/>
              <w:bCs w:val="0"/>
              <w:noProof/>
              <w:sz w:val="20"/>
              <w:szCs w:val="20"/>
              <w:lang w:val="en-US"/>
            </w:rPr>
          </w:pPr>
          <w:hyperlink w:anchor="_Toc234318914" w:history="1">
            <w:r w:rsidRPr="001E4743">
              <w:rPr>
                <w:rStyle w:val="Hyperlink"/>
                <w:rFonts w:ascii="Arial" w:hAnsi="Arial" w:cs="Arial"/>
                <w:b w:val="0"/>
                <w:bCs w:val="0"/>
                <w:noProof/>
                <w:sz w:val="20"/>
                <w:szCs w:val="20"/>
              </w:rPr>
              <w:t>3.2 Multi-temporal method</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_Toc234318914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8</w:t>
            </w:r>
            <w:r w:rsidRPr="001E4743">
              <w:rPr>
                <w:b w:val="0"/>
                <w:bCs w:val="0"/>
                <w:noProof/>
                <w:webHidden/>
                <w:sz w:val="20"/>
                <w:szCs w:val="20"/>
              </w:rPr>
              <w:fldChar w:fldCharType="end"/>
            </w:r>
          </w:hyperlink>
        </w:p>
        <w:p w14:paraId="647D33F9" w14:textId="3C6A7657" w:rsidR="00765937" w:rsidRPr="001E4743" w:rsidRDefault="00765937">
          <w:pPr>
            <w:pStyle w:val="TOC2"/>
            <w:tabs>
              <w:tab w:val="right" w:leader="dot" w:pos="9016"/>
            </w:tabs>
            <w:rPr>
              <w:rFonts w:eastAsiaTheme="minorEastAsia"/>
              <w:b w:val="0"/>
              <w:bCs w:val="0"/>
              <w:noProof/>
              <w:sz w:val="20"/>
              <w:szCs w:val="20"/>
              <w:lang w:val="en-US"/>
            </w:rPr>
          </w:pPr>
          <w:hyperlink w:anchor="_Toc234318915" w:history="1">
            <w:r w:rsidRPr="001E4743">
              <w:rPr>
                <w:rStyle w:val="Hyperlink"/>
                <w:rFonts w:ascii="Arial" w:hAnsi="Arial" w:cs="Arial"/>
                <w:b w:val="0"/>
                <w:bCs w:val="0"/>
                <w:noProof/>
                <w:sz w:val="20"/>
                <w:szCs w:val="20"/>
              </w:rPr>
              <w:t>3.3 Proxies used in Chapter 3</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_Toc234318915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8</w:t>
            </w:r>
            <w:r w:rsidRPr="001E4743">
              <w:rPr>
                <w:b w:val="0"/>
                <w:bCs w:val="0"/>
                <w:noProof/>
                <w:webHidden/>
                <w:sz w:val="20"/>
                <w:szCs w:val="20"/>
              </w:rPr>
              <w:fldChar w:fldCharType="end"/>
            </w:r>
          </w:hyperlink>
        </w:p>
        <w:p w14:paraId="323FC7ED" w14:textId="5DFD434F" w:rsidR="00765937" w:rsidRPr="001E4743" w:rsidRDefault="00765937">
          <w:pPr>
            <w:pStyle w:val="TOC2"/>
            <w:tabs>
              <w:tab w:val="right" w:leader="dot" w:pos="9016"/>
            </w:tabs>
            <w:rPr>
              <w:rFonts w:eastAsiaTheme="minorEastAsia"/>
              <w:b w:val="0"/>
              <w:bCs w:val="0"/>
              <w:noProof/>
              <w:sz w:val="20"/>
              <w:szCs w:val="20"/>
              <w:lang w:val="en-US"/>
            </w:rPr>
          </w:pPr>
          <w:hyperlink w:anchor="_Toc234318916" w:history="1">
            <w:r w:rsidRPr="001E4743">
              <w:rPr>
                <w:rStyle w:val="Hyperlink"/>
                <w:rFonts w:ascii="Arial" w:hAnsi="Arial" w:cs="Arial"/>
                <w:b w:val="0"/>
                <w:bCs w:val="0"/>
                <w:noProof/>
                <w:sz w:val="20"/>
                <w:szCs w:val="20"/>
              </w:rPr>
              <w:t>3.4 Classification outputs and numerical findings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_Toc234318916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8</w:t>
            </w:r>
            <w:r w:rsidRPr="001E4743">
              <w:rPr>
                <w:b w:val="0"/>
                <w:bCs w:val="0"/>
                <w:noProof/>
                <w:webHidden/>
                <w:sz w:val="20"/>
                <w:szCs w:val="20"/>
              </w:rPr>
              <w:fldChar w:fldCharType="end"/>
            </w:r>
          </w:hyperlink>
        </w:p>
        <w:p w14:paraId="53E59B39" w14:textId="6283F40B" w:rsidR="00765937" w:rsidRPr="001E4743" w:rsidRDefault="00765937">
          <w:pPr>
            <w:pStyle w:val="TOC2"/>
            <w:tabs>
              <w:tab w:val="right" w:leader="dot" w:pos="9016"/>
            </w:tabs>
            <w:rPr>
              <w:rFonts w:eastAsiaTheme="minorEastAsia"/>
              <w:b w:val="0"/>
              <w:bCs w:val="0"/>
              <w:noProof/>
              <w:sz w:val="20"/>
              <w:szCs w:val="20"/>
              <w:lang w:val="en-US"/>
            </w:rPr>
          </w:pPr>
          <w:hyperlink w:anchor="_Toc234318917" w:history="1">
            <w:r w:rsidRPr="001E4743">
              <w:rPr>
                <w:rStyle w:val="Hyperlink"/>
                <w:rFonts w:ascii="Arial" w:hAnsi="Arial" w:cs="Arial"/>
                <w:b w:val="0"/>
                <w:bCs w:val="0"/>
                <w:noProof/>
                <w:sz w:val="20"/>
                <w:szCs w:val="20"/>
              </w:rPr>
              <w:t>3.5 Key methodological limitations in Chapter 3</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_Toc234318917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9</w:t>
            </w:r>
            <w:r w:rsidRPr="001E4743">
              <w:rPr>
                <w:b w:val="0"/>
                <w:bCs w:val="0"/>
                <w:noProof/>
                <w:webHidden/>
                <w:sz w:val="20"/>
                <w:szCs w:val="20"/>
              </w:rPr>
              <w:fldChar w:fldCharType="end"/>
            </w:r>
          </w:hyperlink>
        </w:p>
        <w:p w14:paraId="2A80C887" w14:textId="678254FB" w:rsidR="00765937" w:rsidRPr="001E4743" w:rsidRDefault="00765937">
          <w:pPr>
            <w:pStyle w:val="TOC1"/>
            <w:tabs>
              <w:tab w:val="right" w:leader="dot" w:pos="9016"/>
            </w:tabs>
            <w:rPr>
              <w:rFonts w:eastAsiaTheme="minorEastAsia"/>
              <w:b w:val="0"/>
              <w:bCs w:val="0"/>
              <w:i w:val="0"/>
              <w:iCs w:val="0"/>
              <w:noProof/>
              <w:sz w:val="20"/>
              <w:szCs w:val="20"/>
              <w:lang w:val="en-US"/>
            </w:rPr>
          </w:pPr>
          <w:hyperlink w:anchor="_Toc234318918" w:history="1">
            <w:r w:rsidRPr="001E4743">
              <w:rPr>
                <w:rStyle w:val="Hyperlink"/>
                <w:rFonts w:ascii="Arial" w:hAnsi="Arial" w:cs="Arial"/>
                <w:b w:val="0"/>
                <w:bCs w:val="0"/>
                <w:noProof/>
                <w:sz w:val="20"/>
                <w:szCs w:val="20"/>
              </w:rPr>
              <w:t>4. What NTL and GHSL can and cannot represent</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_Toc234318918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9</w:t>
            </w:r>
            <w:r w:rsidRPr="001E4743">
              <w:rPr>
                <w:b w:val="0"/>
                <w:bCs w:val="0"/>
                <w:noProof/>
                <w:webHidden/>
                <w:sz w:val="20"/>
                <w:szCs w:val="20"/>
              </w:rPr>
              <w:fldChar w:fldCharType="end"/>
            </w:r>
          </w:hyperlink>
        </w:p>
        <w:p w14:paraId="2999AF52" w14:textId="2622474C" w:rsidR="00765937" w:rsidRPr="001E4743" w:rsidRDefault="00765937">
          <w:pPr>
            <w:pStyle w:val="TOC2"/>
            <w:tabs>
              <w:tab w:val="right" w:leader="dot" w:pos="9016"/>
            </w:tabs>
            <w:rPr>
              <w:rFonts w:eastAsiaTheme="minorEastAsia"/>
              <w:b w:val="0"/>
              <w:bCs w:val="0"/>
              <w:noProof/>
              <w:sz w:val="20"/>
              <w:szCs w:val="20"/>
              <w:lang w:val="en-US"/>
            </w:rPr>
          </w:pPr>
          <w:hyperlink w:anchor="_Toc234318919" w:history="1">
            <w:r w:rsidRPr="001E4743">
              <w:rPr>
                <w:rStyle w:val="Hyperlink"/>
                <w:rFonts w:ascii="Arial" w:hAnsi="Arial" w:cs="Arial"/>
                <w:b w:val="0"/>
                <w:bCs w:val="0"/>
                <w:noProof/>
                <w:sz w:val="20"/>
                <w:szCs w:val="20"/>
              </w:rPr>
              <w:t>4.1 Proxy ladder for reliability-qualified nighttime lights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_Toc234318919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9</w:t>
            </w:r>
            <w:r w:rsidRPr="001E4743">
              <w:rPr>
                <w:b w:val="0"/>
                <w:bCs w:val="0"/>
                <w:noProof/>
                <w:webHidden/>
                <w:sz w:val="20"/>
                <w:szCs w:val="20"/>
              </w:rPr>
              <w:fldChar w:fldCharType="end"/>
            </w:r>
          </w:hyperlink>
        </w:p>
        <w:p w14:paraId="07E7B32F" w14:textId="43074431" w:rsidR="00765937" w:rsidRPr="001E4743" w:rsidRDefault="00765937">
          <w:pPr>
            <w:pStyle w:val="TOC2"/>
            <w:tabs>
              <w:tab w:val="right" w:leader="dot" w:pos="9016"/>
            </w:tabs>
            <w:rPr>
              <w:rFonts w:eastAsiaTheme="minorEastAsia"/>
              <w:b w:val="0"/>
              <w:bCs w:val="0"/>
              <w:noProof/>
              <w:sz w:val="20"/>
              <w:szCs w:val="20"/>
              <w:lang w:val="en-US"/>
            </w:rPr>
          </w:pPr>
          <w:hyperlink w:anchor="_Toc234318920" w:history="1">
            <w:r w:rsidRPr="001E4743">
              <w:rPr>
                <w:rStyle w:val="Hyperlink"/>
                <w:rFonts w:ascii="Arial" w:hAnsi="Arial" w:cs="Arial"/>
                <w:b w:val="0"/>
                <w:bCs w:val="0"/>
                <w:noProof/>
                <w:sz w:val="20"/>
                <w:szCs w:val="20"/>
              </w:rPr>
              <w:t>4.2 What NTL can represent</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_Toc234318920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10</w:t>
            </w:r>
            <w:r w:rsidRPr="001E4743">
              <w:rPr>
                <w:b w:val="0"/>
                <w:bCs w:val="0"/>
                <w:noProof/>
                <w:webHidden/>
                <w:sz w:val="20"/>
                <w:szCs w:val="20"/>
              </w:rPr>
              <w:fldChar w:fldCharType="end"/>
            </w:r>
          </w:hyperlink>
        </w:p>
        <w:p w14:paraId="5ED1D61C" w14:textId="2C0286BB" w:rsidR="00765937" w:rsidRPr="001E4743" w:rsidRDefault="00765937">
          <w:pPr>
            <w:pStyle w:val="TOC2"/>
            <w:tabs>
              <w:tab w:val="right" w:leader="dot" w:pos="9016"/>
            </w:tabs>
            <w:rPr>
              <w:rFonts w:eastAsiaTheme="minorEastAsia"/>
              <w:b w:val="0"/>
              <w:bCs w:val="0"/>
              <w:noProof/>
              <w:sz w:val="20"/>
              <w:szCs w:val="20"/>
              <w:lang w:val="en-US"/>
            </w:rPr>
          </w:pPr>
          <w:hyperlink w:anchor="_Toc234318921" w:history="1">
            <w:r w:rsidRPr="001E4743">
              <w:rPr>
                <w:rStyle w:val="Hyperlink"/>
                <w:rFonts w:ascii="Arial" w:hAnsi="Arial" w:cs="Arial"/>
                <w:b w:val="0"/>
                <w:bCs w:val="0"/>
                <w:noProof/>
                <w:sz w:val="20"/>
                <w:szCs w:val="20"/>
              </w:rPr>
              <w:t>4.3 What NTL cannot represent on its own</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_Toc234318921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10</w:t>
            </w:r>
            <w:r w:rsidRPr="001E4743">
              <w:rPr>
                <w:b w:val="0"/>
                <w:bCs w:val="0"/>
                <w:noProof/>
                <w:webHidden/>
                <w:sz w:val="20"/>
                <w:szCs w:val="20"/>
              </w:rPr>
              <w:fldChar w:fldCharType="end"/>
            </w:r>
          </w:hyperlink>
        </w:p>
        <w:p w14:paraId="330FC751" w14:textId="6F967022" w:rsidR="00765937" w:rsidRPr="001E4743" w:rsidRDefault="00765937">
          <w:pPr>
            <w:pStyle w:val="TOC2"/>
            <w:tabs>
              <w:tab w:val="right" w:leader="dot" w:pos="9016"/>
            </w:tabs>
            <w:rPr>
              <w:rFonts w:eastAsiaTheme="minorEastAsia"/>
              <w:b w:val="0"/>
              <w:bCs w:val="0"/>
              <w:noProof/>
              <w:sz w:val="20"/>
              <w:szCs w:val="20"/>
              <w:lang w:val="en-US"/>
            </w:rPr>
          </w:pPr>
          <w:hyperlink w:anchor="_Toc234318922" w:history="1">
            <w:r w:rsidRPr="001E4743">
              <w:rPr>
                <w:rStyle w:val="Hyperlink"/>
                <w:rFonts w:ascii="Arial" w:hAnsi="Arial" w:cs="Arial"/>
                <w:b w:val="0"/>
                <w:bCs w:val="0"/>
                <w:noProof/>
                <w:sz w:val="20"/>
                <w:szCs w:val="20"/>
              </w:rPr>
              <w:t>4.4 What GHSL can and cannot represent</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_Toc234318922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10</w:t>
            </w:r>
            <w:r w:rsidRPr="001E4743">
              <w:rPr>
                <w:b w:val="0"/>
                <w:bCs w:val="0"/>
                <w:noProof/>
                <w:webHidden/>
                <w:sz w:val="20"/>
                <w:szCs w:val="20"/>
              </w:rPr>
              <w:fldChar w:fldCharType="end"/>
            </w:r>
          </w:hyperlink>
        </w:p>
        <w:p w14:paraId="7F5E2B6A" w14:textId="5BDF5AAE" w:rsidR="00765937" w:rsidRPr="001E4743" w:rsidRDefault="00765937">
          <w:pPr>
            <w:pStyle w:val="TOC2"/>
            <w:tabs>
              <w:tab w:val="right" w:leader="dot" w:pos="9016"/>
            </w:tabs>
            <w:rPr>
              <w:rFonts w:eastAsiaTheme="minorEastAsia"/>
              <w:b w:val="0"/>
              <w:bCs w:val="0"/>
              <w:noProof/>
              <w:sz w:val="20"/>
              <w:szCs w:val="20"/>
              <w:lang w:val="en-US"/>
            </w:rPr>
          </w:pPr>
          <w:hyperlink w:anchor="_Toc234318923" w:history="1">
            <w:r w:rsidRPr="001E4743">
              <w:rPr>
                <w:rStyle w:val="Hyperlink"/>
                <w:rFonts w:ascii="Arial" w:hAnsi="Arial" w:cs="Arial"/>
                <w:b w:val="0"/>
                <w:bCs w:val="0"/>
                <w:noProof/>
                <w:sz w:val="20"/>
                <w:szCs w:val="20"/>
              </w:rPr>
              <w:t>4.5 Proxy layers: social, natural, economic, and built-up relationships to NTL</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_Toc234318923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10</w:t>
            </w:r>
            <w:r w:rsidRPr="001E4743">
              <w:rPr>
                <w:b w:val="0"/>
                <w:bCs w:val="0"/>
                <w:noProof/>
                <w:webHidden/>
                <w:sz w:val="20"/>
                <w:szCs w:val="20"/>
              </w:rPr>
              <w:fldChar w:fldCharType="end"/>
            </w:r>
          </w:hyperlink>
        </w:p>
        <w:p w14:paraId="5AB47C2A" w14:textId="6E7DF864" w:rsidR="00765937" w:rsidRPr="001E4743" w:rsidRDefault="00765937">
          <w:pPr>
            <w:pStyle w:val="TOC1"/>
            <w:tabs>
              <w:tab w:val="right" w:leader="dot" w:pos="9016"/>
            </w:tabs>
            <w:rPr>
              <w:rFonts w:eastAsiaTheme="minorEastAsia"/>
              <w:b w:val="0"/>
              <w:bCs w:val="0"/>
              <w:i w:val="0"/>
              <w:iCs w:val="0"/>
              <w:noProof/>
              <w:sz w:val="20"/>
              <w:szCs w:val="20"/>
              <w:lang w:val="en-US"/>
            </w:rPr>
          </w:pPr>
          <w:hyperlink w:anchor="_Toc234318924" w:history="1">
            <w:r w:rsidRPr="001E4743">
              <w:rPr>
                <w:rStyle w:val="Hyperlink"/>
                <w:rFonts w:ascii="Arial" w:hAnsi="Arial" w:cs="Arial"/>
                <w:b w:val="0"/>
                <w:bCs w:val="0"/>
                <w:noProof/>
                <w:sz w:val="20"/>
                <w:szCs w:val="20"/>
              </w:rPr>
              <w:t>5. How this thesis informs and sharpens RQ2 novelty</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_Toc234318924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11</w:t>
            </w:r>
            <w:r w:rsidRPr="001E4743">
              <w:rPr>
                <w:b w:val="0"/>
                <w:bCs w:val="0"/>
                <w:noProof/>
                <w:webHidden/>
                <w:sz w:val="20"/>
                <w:szCs w:val="20"/>
              </w:rPr>
              <w:fldChar w:fldCharType="end"/>
            </w:r>
          </w:hyperlink>
        </w:p>
        <w:p w14:paraId="590C3E6F" w14:textId="61FBD673" w:rsidR="00765937" w:rsidRPr="001E4743" w:rsidRDefault="00765937">
          <w:pPr>
            <w:pStyle w:val="TOC2"/>
            <w:tabs>
              <w:tab w:val="right" w:leader="dot" w:pos="9016"/>
            </w:tabs>
            <w:rPr>
              <w:rFonts w:eastAsiaTheme="minorEastAsia"/>
              <w:b w:val="0"/>
              <w:bCs w:val="0"/>
              <w:noProof/>
              <w:sz w:val="20"/>
              <w:szCs w:val="20"/>
              <w:lang w:val="en-US"/>
            </w:rPr>
          </w:pPr>
          <w:hyperlink w:anchor="_Toc234318925" w:history="1">
            <w:r w:rsidRPr="001E4743">
              <w:rPr>
                <w:rStyle w:val="Hyperlink"/>
                <w:rFonts w:ascii="Arial" w:hAnsi="Arial" w:cs="Arial"/>
                <w:b w:val="0"/>
                <w:bCs w:val="0"/>
                <w:noProof/>
                <w:sz w:val="20"/>
                <w:szCs w:val="20"/>
              </w:rPr>
              <w:t>5.1 Recommended RQ2 framing sentence</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_Toc234318925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11</w:t>
            </w:r>
            <w:r w:rsidRPr="001E4743">
              <w:rPr>
                <w:b w:val="0"/>
                <w:bCs w:val="0"/>
                <w:noProof/>
                <w:webHidden/>
                <w:sz w:val="20"/>
                <w:szCs w:val="20"/>
              </w:rPr>
              <w:fldChar w:fldCharType="end"/>
            </w:r>
          </w:hyperlink>
        </w:p>
        <w:p w14:paraId="45C406BC" w14:textId="72E05AF2" w:rsidR="00765937" w:rsidRPr="001E4743" w:rsidRDefault="00765937">
          <w:pPr>
            <w:pStyle w:val="TOC2"/>
            <w:tabs>
              <w:tab w:val="right" w:leader="dot" w:pos="9016"/>
            </w:tabs>
            <w:rPr>
              <w:rFonts w:eastAsiaTheme="minorEastAsia"/>
              <w:b w:val="0"/>
              <w:bCs w:val="0"/>
              <w:noProof/>
              <w:sz w:val="20"/>
              <w:szCs w:val="20"/>
              <w:lang w:val="en-US"/>
            </w:rPr>
          </w:pPr>
          <w:hyperlink w:anchor="_Toc234318926" w:history="1">
            <w:r w:rsidRPr="001E4743">
              <w:rPr>
                <w:rStyle w:val="Hyperlink"/>
                <w:rFonts w:ascii="Arial" w:hAnsi="Arial" w:cs="Arial"/>
                <w:b w:val="0"/>
                <w:bCs w:val="0"/>
                <w:noProof/>
                <w:sz w:val="20"/>
                <w:szCs w:val="20"/>
              </w:rPr>
              <w:t>5.2 Recommended decision rules for NTL recovery claims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_Toc234318926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12</w:t>
            </w:r>
            <w:r w:rsidRPr="001E4743">
              <w:rPr>
                <w:b w:val="0"/>
                <w:bCs w:val="0"/>
                <w:noProof/>
                <w:webHidden/>
                <w:sz w:val="20"/>
                <w:szCs w:val="20"/>
              </w:rPr>
              <w:fldChar w:fldCharType="end"/>
            </w:r>
          </w:hyperlink>
        </w:p>
        <w:p w14:paraId="0C432F0B" w14:textId="4537BF33" w:rsidR="00765937" w:rsidRPr="001E4743" w:rsidRDefault="00765937">
          <w:pPr>
            <w:pStyle w:val="TOC2"/>
            <w:tabs>
              <w:tab w:val="right" w:leader="dot" w:pos="9016"/>
            </w:tabs>
            <w:rPr>
              <w:rFonts w:eastAsiaTheme="minorEastAsia"/>
              <w:b w:val="0"/>
              <w:bCs w:val="0"/>
              <w:noProof/>
              <w:sz w:val="20"/>
              <w:szCs w:val="20"/>
              <w:lang w:val="en-US"/>
            </w:rPr>
          </w:pPr>
          <w:hyperlink w:anchor="_Toc234318927" w:history="1">
            <w:r w:rsidRPr="001E4743">
              <w:rPr>
                <w:rStyle w:val="Hyperlink"/>
                <w:rFonts w:ascii="Arial" w:hAnsi="Arial" w:cs="Arial"/>
                <w:b w:val="0"/>
                <w:bCs w:val="0"/>
                <w:noProof/>
                <w:sz w:val="20"/>
                <w:szCs w:val="20"/>
              </w:rPr>
              <w:t>5.3 How to use Chapter 3 methods without inheriting their weaknesses</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_Toc234318927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12</w:t>
            </w:r>
            <w:r w:rsidRPr="001E4743">
              <w:rPr>
                <w:b w:val="0"/>
                <w:bCs w:val="0"/>
                <w:noProof/>
                <w:webHidden/>
                <w:sz w:val="20"/>
                <w:szCs w:val="20"/>
              </w:rPr>
              <w:fldChar w:fldCharType="end"/>
            </w:r>
          </w:hyperlink>
        </w:p>
        <w:p w14:paraId="08707D2F" w14:textId="7D92CA1F" w:rsidR="00765937" w:rsidRPr="001E4743" w:rsidRDefault="00765937">
          <w:pPr>
            <w:pStyle w:val="TOC1"/>
            <w:tabs>
              <w:tab w:val="right" w:leader="dot" w:pos="9016"/>
            </w:tabs>
            <w:rPr>
              <w:rFonts w:eastAsiaTheme="minorEastAsia"/>
              <w:b w:val="0"/>
              <w:bCs w:val="0"/>
              <w:i w:val="0"/>
              <w:iCs w:val="0"/>
              <w:noProof/>
              <w:sz w:val="20"/>
              <w:szCs w:val="20"/>
              <w:lang w:val="en-US"/>
            </w:rPr>
          </w:pPr>
          <w:hyperlink w:anchor="_Toc234318928" w:history="1">
            <w:r w:rsidRPr="001E4743">
              <w:rPr>
                <w:rStyle w:val="Hyperlink"/>
                <w:rFonts w:ascii="Arial" w:hAnsi="Arial" w:cs="Arial"/>
                <w:b w:val="0"/>
                <w:bCs w:val="0"/>
                <w:noProof/>
                <w:sz w:val="20"/>
                <w:szCs w:val="20"/>
              </w:rPr>
              <w:t>6. Critical assessment of Ghaffarian's approach for RQ2 use</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_Toc234318928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12</w:t>
            </w:r>
            <w:r w:rsidRPr="001E4743">
              <w:rPr>
                <w:b w:val="0"/>
                <w:bCs w:val="0"/>
                <w:noProof/>
                <w:webHidden/>
                <w:sz w:val="20"/>
                <w:szCs w:val="20"/>
              </w:rPr>
              <w:fldChar w:fldCharType="end"/>
            </w:r>
          </w:hyperlink>
        </w:p>
        <w:p w14:paraId="5E7F32CA" w14:textId="38EA3A20" w:rsidR="00765937" w:rsidRPr="001E4743" w:rsidRDefault="00765937">
          <w:pPr>
            <w:pStyle w:val="TOC1"/>
            <w:tabs>
              <w:tab w:val="right" w:leader="dot" w:pos="9016"/>
            </w:tabs>
            <w:rPr>
              <w:rFonts w:eastAsiaTheme="minorEastAsia"/>
              <w:b w:val="0"/>
              <w:bCs w:val="0"/>
              <w:i w:val="0"/>
              <w:iCs w:val="0"/>
              <w:noProof/>
              <w:sz w:val="20"/>
              <w:szCs w:val="20"/>
              <w:lang w:val="en-US"/>
            </w:rPr>
          </w:pPr>
          <w:hyperlink w:anchor="_Toc234318929" w:history="1">
            <w:r w:rsidRPr="001E4743">
              <w:rPr>
                <w:rStyle w:val="Hyperlink"/>
                <w:rFonts w:ascii="Arial" w:hAnsi="Arial" w:cs="Arial"/>
                <w:b w:val="0"/>
                <w:bCs w:val="0"/>
                <w:noProof/>
                <w:sz w:val="20"/>
                <w:szCs w:val="20"/>
              </w:rPr>
              <w:t>7. Literature review notes for RQ2</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_Toc234318929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13</w:t>
            </w:r>
            <w:r w:rsidRPr="001E4743">
              <w:rPr>
                <w:b w:val="0"/>
                <w:bCs w:val="0"/>
                <w:noProof/>
                <w:webHidden/>
                <w:sz w:val="20"/>
                <w:szCs w:val="20"/>
              </w:rPr>
              <w:fldChar w:fldCharType="end"/>
            </w:r>
          </w:hyperlink>
        </w:p>
        <w:p w14:paraId="50CC4A7F" w14:textId="6E46E9DD" w:rsidR="00765937" w:rsidRPr="001E4743" w:rsidRDefault="00765937">
          <w:pPr>
            <w:pStyle w:val="TOC2"/>
            <w:tabs>
              <w:tab w:val="right" w:leader="dot" w:pos="9016"/>
            </w:tabs>
            <w:rPr>
              <w:rFonts w:eastAsiaTheme="minorEastAsia"/>
              <w:b w:val="0"/>
              <w:bCs w:val="0"/>
              <w:noProof/>
              <w:sz w:val="20"/>
              <w:szCs w:val="20"/>
              <w:lang w:val="en-US"/>
            </w:rPr>
          </w:pPr>
          <w:hyperlink w:anchor="_Toc234318930" w:history="1">
            <w:r w:rsidRPr="001E4743">
              <w:rPr>
                <w:rStyle w:val="Hyperlink"/>
                <w:rFonts w:ascii="Arial" w:hAnsi="Arial" w:cs="Arial"/>
                <w:b w:val="0"/>
                <w:bCs w:val="0"/>
                <w:noProof/>
                <w:sz w:val="20"/>
                <w:szCs w:val="20"/>
              </w:rPr>
              <w:t>7.1 Draft paragraph: conceptual bridge</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_Toc234318930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13</w:t>
            </w:r>
            <w:r w:rsidRPr="001E4743">
              <w:rPr>
                <w:b w:val="0"/>
                <w:bCs w:val="0"/>
                <w:noProof/>
                <w:webHidden/>
                <w:sz w:val="20"/>
                <w:szCs w:val="20"/>
              </w:rPr>
              <w:fldChar w:fldCharType="end"/>
            </w:r>
          </w:hyperlink>
        </w:p>
        <w:p w14:paraId="4852BF2E" w14:textId="1551FA46" w:rsidR="00765937" w:rsidRPr="001E4743" w:rsidRDefault="00765937">
          <w:pPr>
            <w:pStyle w:val="TOC2"/>
            <w:tabs>
              <w:tab w:val="right" w:leader="dot" w:pos="9016"/>
            </w:tabs>
            <w:rPr>
              <w:rFonts w:eastAsiaTheme="minorEastAsia"/>
              <w:b w:val="0"/>
              <w:bCs w:val="0"/>
              <w:noProof/>
              <w:sz w:val="20"/>
              <w:szCs w:val="20"/>
              <w:lang w:val="en-US"/>
            </w:rPr>
          </w:pPr>
          <w:hyperlink w:anchor="_Toc234318931" w:history="1">
            <w:r w:rsidRPr="001E4743">
              <w:rPr>
                <w:rStyle w:val="Hyperlink"/>
                <w:rFonts w:ascii="Arial" w:hAnsi="Arial" w:cs="Arial"/>
                <w:b w:val="0"/>
                <w:bCs w:val="0"/>
                <w:noProof/>
                <w:sz w:val="20"/>
                <w:szCs w:val="20"/>
              </w:rPr>
              <w:t>7.2 Draft paragraph: proxy reliability and observability</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_Toc234318931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13</w:t>
            </w:r>
            <w:r w:rsidRPr="001E4743">
              <w:rPr>
                <w:b w:val="0"/>
                <w:bCs w:val="0"/>
                <w:noProof/>
                <w:webHidden/>
                <w:sz w:val="20"/>
                <w:szCs w:val="20"/>
              </w:rPr>
              <w:fldChar w:fldCharType="end"/>
            </w:r>
          </w:hyperlink>
        </w:p>
        <w:p w14:paraId="297D27C5" w14:textId="2CA87015" w:rsidR="00765937" w:rsidRPr="001E4743" w:rsidRDefault="00765937">
          <w:pPr>
            <w:pStyle w:val="TOC2"/>
            <w:tabs>
              <w:tab w:val="right" w:leader="dot" w:pos="9016"/>
            </w:tabs>
            <w:rPr>
              <w:rFonts w:eastAsiaTheme="minorEastAsia"/>
              <w:b w:val="0"/>
              <w:bCs w:val="0"/>
              <w:noProof/>
              <w:sz w:val="20"/>
              <w:szCs w:val="20"/>
              <w:lang w:val="en-US"/>
            </w:rPr>
          </w:pPr>
          <w:hyperlink w:anchor="_Toc234318932" w:history="1">
            <w:r w:rsidRPr="001E4743">
              <w:rPr>
                <w:rStyle w:val="Hyperlink"/>
                <w:rFonts w:ascii="Arial" w:hAnsi="Arial" w:cs="Arial"/>
                <w:b w:val="0"/>
                <w:bCs w:val="0"/>
                <w:noProof/>
                <w:sz w:val="20"/>
                <w:szCs w:val="20"/>
              </w:rPr>
              <w:t>7.3 Draft paragraph: novelty</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_Toc234318932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13</w:t>
            </w:r>
            <w:r w:rsidRPr="001E4743">
              <w:rPr>
                <w:b w:val="0"/>
                <w:bCs w:val="0"/>
                <w:noProof/>
                <w:webHidden/>
                <w:sz w:val="20"/>
                <w:szCs w:val="20"/>
              </w:rPr>
              <w:fldChar w:fldCharType="end"/>
            </w:r>
          </w:hyperlink>
        </w:p>
        <w:p w14:paraId="416B8529" w14:textId="4B4539EE" w:rsidR="00765937" w:rsidRPr="001E4743" w:rsidRDefault="00765937">
          <w:pPr>
            <w:pStyle w:val="TOC1"/>
            <w:tabs>
              <w:tab w:val="right" w:leader="dot" w:pos="9016"/>
            </w:tabs>
            <w:rPr>
              <w:rFonts w:eastAsiaTheme="minorEastAsia"/>
              <w:b w:val="0"/>
              <w:bCs w:val="0"/>
              <w:i w:val="0"/>
              <w:iCs w:val="0"/>
              <w:noProof/>
              <w:sz w:val="20"/>
              <w:szCs w:val="20"/>
              <w:lang w:val="en-US"/>
            </w:rPr>
          </w:pPr>
          <w:hyperlink w:anchor="_Toc234318933" w:history="1">
            <w:r w:rsidRPr="001E4743">
              <w:rPr>
                <w:rStyle w:val="Hyperlink"/>
                <w:rFonts w:ascii="Arial" w:hAnsi="Arial" w:cs="Arial"/>
                <w:b w:val="0"/>
                <w:bCs w:val="0"/>
                <w:noProof/>
                <w:sz w:val="20"/>
                <w:szCs w:val="20"/>
              </w:rPr>
              <w:t>8. References used in this review</w:t>
            </w:r>
            <w:r w:rsidRPr="001E4743">
              <w:rPr>
                <w:b w:val="0"/>
                <w:bCs w:val="0"/>
                <w:noProof/>
                <w:webHidden/>
                <w:sz w:val="20"/>
                <w:szCs w:val="20"/>
              </w:rPr>
              <w:tab/>
            </w:r>
            <w:r w:rsidRPr="001E4743">
              <w:rPr>
                <w:b w:val="0"/>
                <w:bCs w:val="0"/>
                <w:noProof/>
                <w:webHidden/>
                <w:sz w:val="20"/>
                <w:szCs w:val="20"/>
              </w:rPr>
              <w:fldChar w:fldCharType="begin"/>
            </w:r>
            <w:r w:rsidRPr="001E4743">
              <w:rPr>
                <w:b w:val="0"/>
                <w:bCs w:val="0"/>
                <w:noProof/>
                <w:webHidden/>
                <w:sz w:val="20"/>
                <w:szCs w:val="20"/>
              </w:rPr>
              <w:instrText xml:space="preserve"> PAGEREF _Toc234318933 \h </w:instrText>
            </w:r>
            <w:r w:rsidRPr="001E4743">
              <w:rPr>
                <w:b w:val="0"/>
                <w:bCs w:val="0"/>
                <w:noProof/>
                <w:webHidden/>
                <w:sz w:val="20"/>
                <w:szCs w:val="20"/>
              </w:rPr>
            </w:r>
            <w:r w:rsidRPr="001E4743">
              <w:rPr>
                <w:b w:val="0"/>
                <w:bCs w:val="0"/>
                <w:noProof/>
                <w:webHidden/>
                <w:sz w:val="20"/>
                <w:szCs w:val="20"/>
              </w:rPr>
              <w:fldChar w:fldCharType="separate"/>
            </w:r>
            <w:r w:rsidRPr="001E4743">
              <w:rPr>
                <w:b w:val="0"/>
                <w:bCs w:val="0"/>
                <w:noProof/>
                <w:webHidden/>
                <w:sz w:val="20"/>
                <w:szCs w:val="20"/>
              </w:rPr>
              <w:t>14</w:t>
            </w:r>
            <w:r w:rsidRPr="001E4743">
              <w:rPr>
                <w:b w:val="0"/>
                <w:bCs w:val="0"/>
                <w:noProof/>
                <w:webHidden/>
                <w:sz w:val="20"/>
                <w:szCs w:val="20"/>
              </w:rPr>
              <w:fldChar w:fldCharType="end"/>
            </w:r>
          </w:hyperlink>
        </w:p>
        <w:p w14:paraId="095F3232" w14:textId="54E05281" w:rsidR="00290101" w:rsidRPr="00D87CEC" w:rsidRDefault="00290101">
          <w:pPr>
            <w:rPr>
              <w:rFonts w:ascii="Arial" w:hAnsi="Arial" w:cs="Arial"/>
            </w:rPr>
          </w:pPr>
          <w:r w:rsidRPr="001E4743">
            <w:rPr>
              <w:rFonts w:ascii="Arial" w:hAnsi="Arial" w:cs="Arial"/>
              <w:noProof/>
              <w:sz w:val="20"/>
              <w:szCs w:val="20"/>
            </w:rPr>
            <w:fldChar w:fldCharType="end"/>
          </w:r>
        </w:p>
      </w:sdtContent>
    </w:sdt>
    <w:p w14:paraId="00558142" w14:textId="77777777" w:rsidR="00283EDC" w:rsidRPr="00D87CEC" w:rsidRDefault="00283EDC" w:rsidP="00283EDC">
      <w:pPr>
        <w:rPr>
          <w:rFonts w:ascii="Arial" w:hAnsi="Arial" w:cs="Arial"/>
          <w:color w:val="000000" w:themeColor="text1"/>
          <w:sz w:val="20"/>
          <w:szCs w:val="20"/>
        </w:rPr>
      </w:pPr>
    </w:p>
    <w:p w14:paraId="7078282A" w14:textId="77777777" w:rsidR="00283EDC" w:rsidRPr="00D87CEC" w:rsidRDefault="00283EDC" w:rsidP="00283EDC">
      <w:pPr>
        <w:rPr>
          <w:rFonts w:ascii="Arial" w:hAnsi="Arial" w:cs="Arial"/>
          <w:color w:val="000000" w:themeColor="text1"/>
          <w:sz w:val="20"/>
          <w:szCs w:val="20"/>
        </w:rPr>
      </w:pPr>
    </w:p>
    <w:p w14:paraId="267911C7" w14:textId="77777777" w:rsidR="00283EDC" w:rsidRPr="00D87CEC" w:rsidRDefault="00283EDC" w:rsidP="00283EDC">
      <w:pPr>
        <w:rPr>
          <w:rFonts w:ascii="Arial" w:hAnsi="Arial" w:cs="Arial"/>
          <w:color w:val="000000" w:themeColor="text1"/>
          <w:sz w:val="20"/>
          <w:szCs w:val="20"/>
        </w:rPr>
      </w:pPr>
    </w:p>
    <w:p w14:paraId="100CD4B2" w14:textId="77777777" w:rsidR="00283EDC" w:rsidRPr="00D87CEC" w:rsidRDefault="00283EDC" w:rsidP="00283EDC">
      <w:pPr>
        <w:rPr>
          <w:rFonts w:ascii="Arial" w:hAnsi="Arial" w:cs="Arial"/>
          <w:color w:val="000000" w:themeColor="text1"/>
          <w:sz w:val="20"/>
          <w:szCs w:val="20"/>
        </w:rPr>
      </w:pPr>
    </w:p>
    <w:p w14:paraId="127B051F" w14:textId="77777777" w:rsidR="00283EDC" w:rsidRPr="00D87CEC" w:rsidRDefault="00283EDC" w:rsidP="00283EDC">
      <w:pPr>
        <w:rPr>
          <w:rFonts w:ascii="Arial" w:hAnsi="Arial" w:cs="Arial"/>
          <w:color w:val="000000" w:themeColor="text1"/>
          <w:sz w:val="20"/>
          <w:szCs w:val="20"/>
        </w:rPr>
      </w:pPr>
    </w:p>
    <w:p w14:paraId="123E7B50" w14:textId="77777777" w:rsidR="00283EDC" w:rsidRPr="00D87CEC" w:rsidRDefault="00283EDC" w:rsidP="00283EDC">
      <w:pPr>
        <w:rPr>
          <w:rFonts w:ascii="Arial" w:hAnsi="Arial" w:cs="Arial"/>
          <w:color w:val="000000" w:themeColor="text1"/>
          <w:sz w:val="20"/>
          <w:szCs w:val="20"/>
        </w:rPr>
      </w:pPr>
    </w:p>
    <w:p w14:paraId="55A1281B" w14:textId="77777777" w:rsidR="00283EDC" w:rsidRPr="00D87CEC" w:rsidRDefault="00283EDC" w:rsidP="00283EDC">
      <w:pPr>
        <w:rPr>
          <w:rFonts w:ascii="Arial" w:hAnsi="Arial" w:cs="Arial"/>
          <w:color w:val="000000" w:themeColor="text1"/>
          <w:sz w:val="20"/>
          <w:szCs w:val="20"/>
        </w:rPr>
      </w:pPr>
    </w:p>
    <w:p w14:paraId="029927FD" w14:textId="77777777" w:rsidR="00283EDC" w:rsidRPr="00D87CEC" w:rsidRDefault="00283EDC" w:rsidP="00283EDC">
      <w:pPr>
        <w:rPr>
          <w:rFonts w:ascii="Arial" w:hAnsi="Arial" w:cs="Arial"/>
          <w:color w:val="000000" w:themeColor="text1"/>
          <w:sz w:val="20"/>
          <w:szCs w:val="20"/>
        </w:rPr>
      </w:pPr>
    </w:p>
    <w:p w14:paraId="2C4F79D7" w14:textId="77777777" w:rsidR="00283EDC" w:rsidRDefault="00283EDC" w:rsidP="00283EDC">
      <w:pPr>
        <w:rPr>
          <w:rFonts w:ascii="Arial" w:hAnsi="Arial" w:cs="Arial"/>
          <w:color w:val="000000" w:themeColor="text1"/>
          <w:sz w:val="20"/>
          <w:szCs w:val="20"/>
        </w:rPr>
      </w:pPr>
    </w:p>
    <w:p w14:paraId="76D6D517" w14:textId="77777777" w:rsidR="006C66C8" w:rsidRDefault="006C66C8" w:rsidP="00283EDC">
      <w:pPr>
        <w:rPr>
          <w:rFonts w:ascii="Arial" w:hAnsi="Arial" w:cs="Arial"/>
          <w:color w:val="000000" w:themeColor="text1"/>
          <w:sz w:val="20"/>
          <w:szCs w:val="20"/>
        </w:rPr>
      </w:pPr>
    </w:p>
    <w:p w14:paraId="374357B2" w14:textId="77777777" w:rsidR="006C66C8" w:rsidRPr="00D87CEC" w:rsidRDefault="006C66C8" w:rsidP="00283EDC">
      <w:pPr>
        <w:rPr>
          <w:rFonts w:ascii="Arial" w:hAnsi="Arial" w:cs="Arial"/>
          <w:color w:val="000000" w:themeColor="text1"/>
          <w:sz w:val="20"/>
          <w:szCs w:val="20"/>
        </w:rPr>
      </w:pPr>
    </w:p>
    <w:p w14:paraId="35C30509" w14:textId="77777777" w:rsidR="00283EDC" w:rsidRDefault="00283EDC" w:rsidP="00283EDC">
      <w:pPr>
        <w:rPr>
          <w:rFonts w:ascii="Arial" w:hAnsi="Arial" w:cs="Arial"/>
          <w:color w:val="000000" w:themeColor="text1"/>
          <w:sz w:val="20"/>
          <w:szCs w:val="20"/>
        </w:rPr>
      </w:pPr>
    </w:p>
    <w:p w14:paraId="69050E8C" w14:textId="77777777" w:rsidR="006C66C8" w:rsidRDefault="006C66C8" w:rsidP="00283EDC">
      <w:pPr>
        <w:rPr>
          <w:rFonts w:ascii="Arial" w:hAnsi="Arial" w:cs="Arial"/>
          <w:color w:val="000000" w:themeColor="text1"/>
          <w:sz w:val="20"/>
          <w:szCs w:val="20"/>
        </w:rPr>
      </w:pPr>
    </w:p>
    <w:p w14:paraId="1FF252C9" w14:textId="77777777" w:rsidR="006C66C8" w:rsidRPr="00D87CEC" w:rsidRDefault="006C66C8" w:rsidP="00283EDC">
      <w:pPr>
        <w:rPr>
          <w:rFonts w:ascii="Arial" w:hAnsi="Arial" w:cs="Arial"/>
          <w:color w:val="000000" w:themeColor="text1"/>
          <w:sz w:val="20"/>
          <w:szCs w:val="20"/>
        </w:rPr>
      </w:pPr>
    </w:p>
    <w:p w14:paraId="7556A674" w14:textId="77777777" w:rsidR="00283EDC" w:rsidRPr="00D87CEC" w:rsidRDefault="00283EDC" w:rsidP="00283EDC">
      <w:pPr>
        <w:rPr>
          <w:rFonts w:ascii="Arial" w:hAnsi="Arial" w:cs="Arial"/>
          <w:color w:val="000000" w:themeColor="text1"/>
          <w:sz w:val="20"/>
          <w:szCs w:val="20"/>
        </w:rPr>
      </w:pPr>
    </w:p>
    <w:p w14:paraId="2A471201" w14:textId="6DE3D482" w:rsidR="002472C0" w:rsidRPr="006C66C8" w:rsidRDefault="004A5F9E" w:rsidP="006C5F39">
      <w:pPr>
        <w:pStyle w:val="Title"/>
        <w:rPr>
          <w:rFonts w:ascii="Arial" w:hAnsi="Arial" w:cs="Arial"/>
          <w:b/>
          <w:bCs/>
          <w:sz w:val="40"/>
          <w:szCs w:val="40"/>
        </w:rPr>
      </w:pPr>
      <w:r w:rsidRPr="006C66C8">
        <w:rPr>
          <w:rFonts w:ascii="Arial" w:hAnsi="Arial" w:cs="Arial"/>
          <w:b/>
          <w:bCs/>
          <w:sz w:val="40"/>
          <w:szCs w:val="40"/>
        </w:rPr>
        <w:t xml:space="preserve">I. </w:t>
      </w:r>
      <w:r w:rsidR="00283EDC" w:rsidRPr="006C66C8">
        <w:rPr>
          <w:rFonts w:ascii="Arial" w:hAnsi="Arial" w:cs="Arial"/>
          <w:b/>
          <w:bCs/>
          <w:sz w:val="40"/>
          <w:szCs w:val="40"/>
        </w:rPr>
        <w:t xml:space="preserve">Comprehensive Review of </w:t>
      </w:r>
      <w:proofErr w:type="spellStart"/>
      <w:r w:rsidR="00283EDC" w:rsidRPr="006C66C8">
        <w:rPr>
          <w:rFonts w:ascii="Arial" w:hAnsi="Arial" w:cs="Arial"/>
          <w:b/>
          <w:bCs/>
          <w:sz w:val="40"/>
          <w:szCs w:val="40"/>
        </w:rPr>
        <w:t>Ghaffarian</w:t>
      </w:r>
      <w:proofErr w:type="spellEnd"/>
      <w:r w:rsidR="00283EDC" w:rsidRPr="006C66C8">
        <w:rPr>
          <w:rFonts w:ascii="Arial" w:hAnsi="Arial" w:cs="Arial"/>
          <w:b/>
          <w:bCs/>
          <w:sz w:val="40"/>
          <w:szCs w:val="40"/>
        </w:rPr>
        <w:t xml:space="preserve"> Thesis </w:t>
      </w:r>
    </w:p>
    <w:p w14:paraId="6343F09C" w14:textId="407277C6" w:rsidR="00283EDC" w:rsidRPr="00D87CEC" w:rsidRDefault="00283EDC" w:rsidP="00283EDC">
      <w:pPr>
        <w:rPr>
          <w:rFonts w:ascii="Arial" w:hAnsi="Arial" w:cs="Arial"/>
          <w:color w:val="000000" w:themeColor="text1"/>
          <w:sz w:val="20"/>
          <w:szCs w:val="20"/>
        </w:rPr>
      </w:pPr>
      <w:r w:rsidRPr="00D87CEC">
        <w:rPr>
          <w:rFonts w:ascii="Arial" w:hAnsi="Arial" w:cs="Arial"/>
          <w:color w:val="000000" w:themeColor="text1"/>
          <w:sz w:val="20"/>
          <w:szCs w:val="20"/>
        </w:rPr>
        <w:t xml:space="preserve">The thesis is most useful for RQ2 because it clarifies </w:t>
      </w:r>
      <w:r w:rsidRPr="00D87CEC">
        <w:rPr>
          <w:rFonts w:ascii="Arial" w:hAnsi="Arial" w:cs="Arial"/>
          <w:b/>
          <w:bCs/>
          <w:color w:val="000000" w:themeColor="text1"/>
          <w:sz w:val="20"/>
          <w:szCs w:val="20"/>
        </w:rPr>
        <w:t>why recovery cannot be measured directly from remote sensing</w:t>
      </w:r>
      <w:r w:rsidRPr="00D87CEC">
        <w:rPr>
          <w:rFonts w:ascii="Arial" w:hAnsi="Arial" w:cs="Arial"/>
          <w:color w:val="000000" w:themeColor="text1"/>
          <w:sz w:val="20"/>
          <w:szCs w:val="20"/>
        </w:rPr>
        <w:t xml:space="preserve">, </w:t>
      </w:r>
      <w:r w:rsidRPr="00D87CEC">
        <w:rPr>
          <w:rFonts w:ascii="Arial" w:hAnsi="Arial" w:cs="Arial"/>
          <w:b/>
          <w:bCs/>
          <w:color w:val="000000" w:themeColor="text1"/>
          <w:sz w:val="20"/>
          <w:szCs w:val="20"/>
        </w:rPr>
        <w:t>why proxies are necessary</w:t>
      </w:r>
      <w:r w:rsidRPr="00D87CEC">
        <w:rPr>
          <w:rFonts w:ascii="Arial" w:hAnsi="Arial" w:cs="Arial"/>
          <w:color w:val="000000" w:themeColor="text1"/>
          <w:sz w:val="20"/>
          <w:szCs w:val="20"/>
        </w:rPr>
        <w:t xml:space="preserve">, </w:t>
      </w:r>
      <w:r w:rsidRPr="00D87CEC">
        <w:rPr>
          <w:rFonts w:ascii="Arial" w:hAnsi="Arial" w:cs="Arial"/>
          <w:b/>
          <w:bCs/>
          <w:color w:val="000000" w:themeColor="text1"/>
          <w:sz w:val="20"/>
          <w:szCs w:val="20"/>
        </w:rPr>
        <w:t>why functional recovery is underdeveloped</w:t>
      </w:r>
      <w:r w:rsidRPr="00D87CEC">
        <w:rPr>
          <w:rFonts w:ascii="Arial" w:hAnsi="Arial" w:cs="Arial"/>
          <w:color w:val="000000" w:themeColor="text1"/>
          <w:sz w:val="20"/>
          <w:szCs w:val="20"/>
        </w:rPr>
        <w:t xml:space="preserve">, and why every </w:t>
      </w:r>
      <w:r w:rsidRPr="00D87CEC">
        <w:rPr>
          <w:rFonts w:ascii="Arial" w:hAnsi="Arial" w:cs="Arial"/>
          <w:b/>
          <w:bCs/>
          <w:color w:val="000000" w:themeColor="text1"/>
          <w:sz w:val="20"/>
          <w:szCs w:val="20"/>
        </w:rPr>
        <w:t>recovery claim needs a reliability layer before interpretation</w:t>
      </w:r>
      <w:r w:rsidRPr="00D87CEC">
        <w:rPr>
          <w:rFonts w:ascii="Arial" w:hAnsi="Arial" w:cs="Arial"/>
          <w:color w:val="000000" w:themeColor="text1"/>
          <w:sz w:val="20"/>
          <w:szCs w:val="20"/>
        </w:rPr>
        <w:t>.</w:t>
      </w:r>
    </w:p>
    <w:tbl>
      <w:tblPr>
        <w:tblStyle w:val="TableGrid"/>
        <w:tblW w:w="0" w:type="auto"/>
        <w:tblLook w:val="04A0" w:firstRow="1" w:lastRow="0" w:firstColumn="1" w:lastColumn="0" w:noHBand="0" w:noVBand="1"/>
      </w:tblPr>
      <w:tblGrid>
        <w:gridCol w:w="2969"/>
        <w:gridCol w:w="6047"/>
      </w:tblGrid>
      <w:tr w:rsidR="004833D3" w:rsidRPr="00D87CEC" w14:paraId="1807206F" w14:textId="77777777" w:rsidTr="00A70259">
        <w:tc>
          <w:tcPr>
            <w:tcW w:w="2969" w:type="dxa"/>
            <w:shd w:val="clear" w:color="auto" w:fill="FFC000"/>
          </w:tcPr>
          <w:p w14:paraId="6DAFB274"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Synthesis point</w:t>
            </w:r>
          </w:p>
        </w:tc>
        <w:tc>
          <w:tcPr>
            <w:tcW w:w="6047" w:type="dxa"/>
            <w:shd w:val="clear" w:color="auto" w:fill="FFC000"/>
          </w:tcPr>
          <w:p w14:paraId="085DF831"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Implication for RQ2</w:t>
            </w:r>
          </w:p>
        </w:tc>
      </w:tr>
      <w:tr w:rsidR="004833D3" w:rsidRPr="00D87CEC" w14:paraId="4C117C48" w14:textId="77777777" w:rsidTr="00A70259">
        <w:tc>
          <w:tcPr>
            <w:tcW w:w="2969" w:type="dxa"/>
          </w:tcPr>
          <w:p w14:paraId="6473F161"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lastRenderedPageBreak/>
              <w:t xml:space="preserve">The central theoretical point is that </w:t>
            </w:r>
            <w:r w:rsidRPr="00D87CEC">
              <w:rPr>
                <w:rFonts w:ascii="Arial" w:hAnsi="Arial" w:cs="Arial"/>
                <w:b/>
                <w:bCs/>
                <w:color w:val="000000" w:themeColor="text1"/>
                <w:sz w:val="16"/>
                <w:szCs w:val="16"/>
              </w:rPr>
              <w:t>post-disaster recovery is multi-dimensional</w:t>
            </w:r>
            <w:r w:rsidRPr="00D87CEC">
              <w:rPr>
                <w:rFonts w:ascii="Arial" w:hAnsi="Arial" w:cs="Arial"/>
                <w:color w:val="000000" w:themeColor="text1"/>
                <w:sz w:val="16"/>
                <w:szCs w:val="16"/>
              </w:rPr>
              <w:t>.</w:t>
            </w:r>
          </w:p>
        </w:tc>
        <w:tc>
          <w:tcPr>
            <w:tcW w:w="6047" w:type="dxa"/>
          </w:tcPr>
          <w:p w14:paraId="4EFFF2C6"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Recovery includes physical, economic, social, environmental, and functional dimensions. Reconstructed buildings alone do not prove recovery if they are unoccupied, disconnected from jobs, or non-functional.</w:t>
            </w:r>
          </w:p>
        </w:tc>
      </w:tr>
      <w:tr w:rsidR="004833D3" w:rsidRPr="00D87CEC" w14:paraId="73FDA44F" w14:textId="77777777" w:rsidTr="00A70259">
        <w:tc>
          <w:tcPr>
            <w:tcW w:w="2969" w:type="dxa"/>
          </w:tcPr>
          <w:p w14:paraId="55D9B4A4"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The central methodological point is that </w:t>
            </w:r>
            <w:r w:rsidRPr="00D87CEC">
              <w:rPr>
                <w:rFonts w:ascii="Arial" w:hAnsi="Arial" w:cs="Arial"/>
                <w:b/>
                <w:bCs/>
                <w:color w:val="000000" w:themeColor="text1"/>
                <w:sz w:val="16"/>
                <w:szCs w:val="16"/>
              </w:rPr>
              <w:t>remote sensing recovery assessment is proxy-based.</w:t>
            </w:r>
          </w:p>
        </w:tc>
        <w:tc>
          <w:tcPr>
            <w:tcW w:w="6047" w:type="dxa"/>
          </w:tcPr>
          <w:p w14:paraId="1BF3D34B"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b/>
                <w:bCs/>
                <w:color w:val="000000" w:themeColor="text1"/>
                <w:sz w:val="16"/>
                <w:szCs w:val="16"/>
              </w:rPr>
              <w:t>Many recovery variables are not directly visible from imagery.</w:t>
            </w:r>
            <w:r w:rsidRPr="00D87CEC">
              <w:rPr>
                <w:rFonts w:ascii="Arial" w:hAnsi="Arial" w:cs="Arial"/>
                <w:color w:val="000000" w:themeColor="text1"/>
                <w:sz w:val="16"/>
                <w:szCs w:val="16"/>
              </w:rPr>
              <w:t xml:space="preserve"> They must be inferred from observable features such as buildings, land use, impervious surface, transport access, informal settlement morphology, vegetation, or nighttime lights.</w:t>
            </w:r>
          </w:p>
        </w:tc>
      </w:tr>
      <w:tr w:rsidR="004833D3" w:rsidRPr="00D87CEC" w14:paraId="1C395C48" w14:textId="77777777" w:rsidTr="00A70259">
        <w:tc>
          <w:tcPr>
            <w:tcW w:w="2969" w:type="dxa"/>
          </w:tcPr>
          <w:p w14:paraId="64955026"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The central limitation is </w:t>
            </w:r>
            <w:r w:rsidRPr="00D87CEC">
              <w:rPr>
                <w:rFonts w:ascii="Arial" w:hAnsi="Arial" w:cs="Arial"/>
                <w:b/>
                <w:bCs/>
                <w:color w:val="000000" w:themeColor="text1"/>
                <w:sz w:val="16"/>
                <w:szCs w:val="16"/>
              </w:rPr>
              <w:t>interpretability</w:t>
            </w:r>
            <w:r w:rsidRPr="00D87CEC">
              <w:rPr>
                <w:rFonts w:ascii="Arial" w:hAnsi="Arial" w:cs="Arial"/>
                <w:color w:val="000000" w:themeColor="text1"/>
                <w:sz w:val="16"/>
                <w:szCs w:val="16"/>
              </w:rPr>
              <w:t>, not only classification accuracy.</w:t>
            </w:r>
          </w:p>
        </w:tc>
        <w:tc>
          <w:tcPr>
            <w:tcW w:w="6047" w:type="dxa"/>
          </w:tcPr>
          <w:p w14:paraId="4F30BFC2"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Even when land cover or land use maps are accurate, the meaning of a class change is not always straightforward. Faster reconstruction may indicate rapid recovery, but slower reconstruction may indicate stricter planning or better build-back-better outcomes.</w:t>
            </w:r>
          </w:p>
        </w:tc>
      </w:tr>
      <w:tr w:rsidR="004833D3" w:rsidRPr="00D87CEC" w14:paraId="0F984344" w14:textId="77777777" w:rsidTr="00A70259">
        <w:tc>
          <w:tcPr>
            <w:tcW w:w="2969" w:type="dxa"/>
          </w:tcPr>
          <w:p w14:paraId="5F95F1B9"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The central opportunity for RQ2 is</w:t>
            </w:r>
            <w:r w:rsidRPr="00D87CEC">
              <w:rPr>
                <w:rFonts w:ascii="Arial" w:hAnsi="Arial" w:cs="Arial"/>
                <w:b/>
                <w:bCs/>
                <w:color w:val="000000" w:themeColor="text1"/>
                <w:sz w:val="16"/>
                <w:szCs w:val="16"/>
              </w:rPr>
              <w:t xml:space="preserve"> functional recovery.</w:t>
            </w:r>
          </w:p>
        </w:tc>
        <w:tc>
          <w:tcPr>
            <w:tcW w:w="6047" w:type="dxa"/>
          </w:tcPr>
          <w:p w14:paraId="16672F8F" w14:textId="7C6B7151"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Nighttime lights can contribute where </w:t>
            </w:r>
            <w:r w:rsidR="00283EDC" w:rsidRPr="00D87CEC">
              <w:rPr>
                <w:rFonts w:ascii="Arial" w:hAnsi="Arial" w:cs="Arial"/>
                <w:color w:val="000000" w:themeColor="text1"/>
                <w:sz w:val="16"/>
                <w:szCs w:val="16"/>
              </w:rPr>
              <w:t xml:space="preserve">(Very High Resolution) </w:t>
            </w:r>
            <w:r w:rsidRPr="00D87CEC">
              <w:rPr>
                <w:rFonts w:ascii="Arial" w:hAnsi="Arial" w:cs="Arial"/>
                <w:color w:val="000000" w:themeColor="text1"/>
                <w:sz w:val="16"/>
                <w:szCs w:val="16"/>
              </w:rPr>
              <w:t xml:space="preserve">VHR land cover approaches are weak: </w:t>
            </w:r>
            <w:r w:rsidRPr="00D87CEC">
              <w:rPr>
                <w:rFonts w:ascii="Arial" w:hAnsi="Arial" w:cs="Arial"/>
                <w:b/>
                <w:bCs/>
                <w:color w:val="000000" w:themeColor="text1"/>
                <w:sz w:val="16"/>
                <w:szCs w:val="16"/>
              </w:rPr>
              <w:t>detecting daily disruption and restoration of electricity-mediated activity</w:t>
            </w:r>
            <w:r w:rsidRPr="00D87CEC">
              <w:rPr>
                <w:rFonts w:ascii="Arial" w:hAnsi="Arial" w:cs="Arial"/>
                <w:color w:val="000000" w:themeColor="text1"/>
                <w:sz w:val="16"/>
                <w:szCs w:val="16"/>
              </w:rPr>
              <w:t xml:space="preserve">. However, </w:t>
            </w:r>
            <w:r w:rsidRPr="00D87CEC">
              <w:rPr>
                <w:rFonts w:ascii="Arial" w:hAnsi="Arial" w:cs="Arial"/>
                <w:b/>
                <w:bCs/>
                <w:color w:val="000000" w:themeColor="text1"/>
                <w:sz w:val="16"/>
                <w:szCs w:val="16"/>
              </w:rPr>
              <w:t>NTL cannot independently prove social recovery, structural reconstruction, or resilience.</w:t>
            </w:r>
          </w:p>
        </w:tc>
      </w:tr>
      <w:tr w:rsidR="004833D3" w:rsidRPr="00D87CEC" w14:paraId="6BF871E0" w14:textId="77777777" w:rsidTr="00A70259">
        <w:tc>
          <w:tcPr>
            <w:tcW w:w="2969" w:type="dxa"/>
          </w:tcPr>
          <w:p w14:paraId="5F5931A9" w14:textId="77777777" w:rsidR="004833D3" w:rsidRPr="00D87CEC" w:rsidRDefault="004833D3" w:rsidP="00283EDC">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The central methodological upgrade for RQ2 is reliability qualification.</w:t>
            </w:r>
          </w:p>
        </w:tc>
        <w:tc>
          <w:tcPr>
            <w:tcW w:w="6047" w:type="dxa"/>
          </w:tcPr>
          <w:p w14:paraId="7BD315CE" w14:textId="4ADC6E86" w:rsidR="004833D3" w:rsidRPr="00D87CEC" w:rsidRDefault="004833D3" w:rsidP="00283EDC">
            <w:pPr>
              <w:spacing w:line="276" w:lineRule="auto"/>
              <w:rPr>
                <w:rFonts w:ascii="Arial" w:hAnsi="Arial" w:cs="Arial"/>
                <w:color w:val="000000" w:themeColor="text1"/>
                <w:sz w:val="16"/>
                <w:szCs w:val="16"/>
              </w:rPr>
            </w:pPr>
            <w:proofErr w:type="spellStart"/>
            <w:r w:rsidRPr="00D87CEC">
              <w:rPr>
                <w:rFonts w:ascii="Arial" w:hAnsi="Arial" w:cs="Arial"/>
                <w:color w:val="000000" w:themeColor="text1"/>
                <w:sz w:val="16"/>
                <w:szCs w:val="16"/>
              </w:rPr>
              <w:t>Ghaffarian</w:t>
            </w:r>
            <w:proofErr w:type="spellEnd"/>
            <w:r w:rsidRPr="00D87CEC">
              <w:rPr>
                <w:rFonts w:ascii="Arial" w:hAnsi="Arial" w:cs="Arial"/>
                <w:color w:val="000000" w:themeColor="text1"/>
                <w:sz w:val="16"/>
                <w:szCs w:val="16"/>
              </w:rPr>
              <w:t xml:space="preserve"> identifies proxy reliability as a key issue. RQ2 can respond by attaching observability, valid-pixel coverage, baseline sensitivity, and gap-filled diagnostics to every </w:t>
            </w:r>
            <w:r w:rsidR="009B5519">
              <w:rPr>
                <w:rFonts w:ascii="Arial" w:hAnsi="Arial" w:cs="Arial"/>
                <w:color w:val="000000" w:themeColor="text1"/>
                <w:sz w:val="16"/>
                <w:szCs w:val="16"/>
              </w:rPr>
              <w:t>impact</w:t>
            </w:r>
            <w:r w:rsidRPr="00D87CEC">
              <w:rPr>
                <w:rFonts w:ascii="Arial" w:hAnsi="Arial" w:cs="Arial"/>
                <w:color w:val="000000" w:themeColor="text1"/>
                <w:sz w:val="16"/>
                <w:szCs w:val="16"/>
              </w:rPr>
              <w:t xml:space="preserve"> and recovery metric.</w:t>
            </w:r>
          </w:p>
        </w:tc>
      </w:tr>
    </w:tbl>
    <w:p w14:paraId="59FB7FD3" w14:textId="77777777" w:rsidR="00A70259" w:rsidRPr="00D87CEC" w:rsidRDefault="00A70259" w:rsidP="00A70259">
      <w:pPr>
        <w:pStyle w:val="Heading1"/>
        <w:rPr>
          <w:rFonts w:ascii="Arial" w:hAnsi="Arial" w:cs="Arial"/>
          <w:b/>
          <w:bCs/>
          <w:color w:val="000000" w:themeColor="text1"/>
          <w:sz w:val="24"/>
          <w:szCs w:val="24"/>
        </w:rPr>
      </w:pPr>
      <w:bookmarkStart w:id="0" w:name="_Toc234318899"/>
      <w:r w:rsidRPr="00D87CEC">
        <w:rPr>
          <w:rFonts w:ascii="Arial" w:hAnsi="Arial" w:cs="Arial"/>
          <w:b/>
          <w:bCs/>
          <w:color w:val="000000" w:themeColor="text1"/>
          <w:sz w:val="24"/>
          <w:szCs w:val="24"/>
        </w:rPr>
        <w:t>1. Chapter 1 review: disaster risk management and post-disaster recovery concepts</w:t>
      </w:r>
      <w:bookmarkEnd w:id="0"/>
    </w:p>
    <w:p w14:paraId="31BADA36" w14:textId="35DC10DD" w:rsidR="004A5F9E" w:rsidRPr="00D87CEC" w:rsidRDefault="007B55D6" w:rsidP="00283EDC">
      <w:pPr>
        <w:rPr>
          <w:rFonts w:ascii="Arial" w:hAnsi="Arial" w:cs="Arial"/>
          <w:color w:val="000000" w:themeColor="text1"/>
          <w:sz w:val="20"/>
          <w:szCs w:val="20"/>
        </w:rPr>
      </w:pPr>
      <w:r w:rsidRPr="00D87CEC">
        <w:rPr>
          <w:rFonts w:ascii="Arial" w:hAnsi="Arial" w:cs="Arial"/>
          <w:color w:val="000000" w:themeColor="text1"/>
          <w:sz w:val="20"/>
          <w:szCs w:val="20"/>
        </w:rPr>
        <w:t>D</w:t>
      </w:r>
      <w:r w:rsidR="004A5F9E" w:rsidRPr="00D87CEC">
        <w:rPr>
          <w:rFonts w:ascii="Arial" w:hAnsi="Arial" w:cs="Arial"/>
          <w:color w:val="000000" w:themeColor="text1"/>
          <w:sz w:val="20"/>
          <w:szCs w:val="20"/>
        </w:rPr>
        <w:t>isasters disrupt communities beyond their own capacity to cope, recovery is not equivalent to reconstruction, and remote sensing can support recovery analysis only through carefully interpreted proxies (</w:t>
      </w:r>
      <w:proofErr w:type="spellStart"/>
      <w:r w:rsidR="004A5F9E" w:rsidRPr="00D87CEC">
        <w:rPr>
          <w:rFonts w:ascii="Arial" w:hAnsi="Arial" w:cs="Arial"/>
          <w:color w:val="000000" w:themeColor="text1"/>
          <w:sz w:val="20"/>
          <w:szCs w:val="20"/>
        </w:rPr>
        <w:t>Ghaffarian</w:t>
      </w:r>
      <w:proofErr w:type="spellEnd"/>
      <w:r w:rsidR="004A5F9E" w:rsidRPr="00D87CEC">
        <w:rPr>
          <w:rFonts w:ascii="Arial" w:hAnsi="Arial" w:cs="Arial"/>
          <w:color w:val="000000" w:themeColor="text1"/>
          <w:sz w:val="20"/>
          <w:szCs w:val="20"/>
        </w:rPr>
        <w:t>, 2020).</w:t>
      </w:r>
    </w:p>
    <w:tbl>
      <w:tblPr>
        <w:tblStyle w:val="TableGrid"/>
        <w:tblW w:w="0" w:type="auto"/>
        <w:jc w:val="center"/>
        <w:tblLook w:val="04A0" w:firstRow="1" w:lastRow="0" w:firstColumn="1" w:lastColumn="0" w:noHBand="0" w:noVBand="1"/>
      </w:tblPr>
      <w:tblGrid>
        <w:gridCol w:w="1550"/>
        <w:gridCol w:w="4385"/>
        <w:gridCol w:w="3081"/>
      </w:tblGrid>
      <w:tr w:rsidR="007B55D6" w:rsidRPr="00D87CEC" w14:paraId="17A16790" w14:textId="77777777" w:rsidTr="007B55D6">
        <w:trPr>
          <w:cantSplit/>
          <w:tblHeader/>
          <w:jc w:val="center"/>
        </w:trPr>
        <w:tc>
          <w:tcPr>
            <w:tcW w:w="1550" w:type="dxa"/>
            <w:shd w:val="clear" w:color="auto" w:fill="FFC000"/>
          </w:tcPr>
          <w:p w14:paraId="672A4FB5"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Term</w:t>
            </w:r>
          </w:p>
        </w:tc>
        <w:tc>
          <w:tcPr>
            <w:tcW w:w="4385" w:type="dxa"/>
            <w:shd w:val="clear" w:color="auto" w:fill="FFC000"/>
          </w:tcPr>
          <w:p w14:paraId="5D40C458" w14:textId="08AB7E3D"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Definition</w:t>
            </w:r>
          </w:p>
        </w:tc>
        <w:tc>
          <w:tcPr>
            <w:tcW w:w="3081" w:type="dxa"/>
            <w:shd w:val="clear" w:color="auto" w:fill="FFC000"/>
          </w:tcPr>
          <w:p w14:paraId="18B94BE6" w14:textId="02D76D9C"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Relevance</w:t>
            </w:r>
          </w:p>
        </w:tc>
      </w:tr>
      <w:tr w:rsidR="007B55D6" w:rsidRPr="00D87CEC" w14:paraId="0709540E" w14:textId="77777777" w:rsidTr="007B55D6">
        <w:trPr>
          <w:cantSplit/>
          <w:jc w:val="center"/>
        </w:trPr>
        <w:tc>
          <w:tcPr>
            <w:tcW w:w="1550" w:type="dxa"/>
          </w:tcPr>
          <w:p w14:paraId="260EAAD9"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Disaster</w:t>
            </w:r>
          </w:p>
        </w:tc>
        <w:tc>
          <w:tcPr>
            <w:tcW w:w="4385" w:type="dxa"/>
          </w:tcPr>
          <w:p w14:paraId="1BBD0EC4"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A serious event that disrupts the functioning of a community or society beyond its own capacity to cope. It produces human, physical, economic, and environmental impacts.</w:t>
            </w:r>
          </w:p>
        </w:tc>
        <w:tc>
          <w:tcPr>
            <w:tcW w:w="3081" w:type="dxa"/>
          </w:tcPr>
          <w:p w14:paraId="3EEC3711"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bCs/>
                <w:color w:val="000000" w:themeColor="text1"/>
                <w:sz w:val="16"/>
                <w:szCs w:val="16"/>
              </w:rPr>
              <w:t>NTL</w:t>
            </w:r>
            <w:r w:rsidRPr="00D87CEC">
              <w:rPr>
                <w:rFonts w:ascii="Arial" w:hAnsi="Arial" w:cs="Arial"/>
                <w:color w:val="000000" w:themeColor="text1"/>
                <w:sz w:val="16"/>
                <w:szCs w:val="16"/>
              </w:rPr>
              <w:t xml:space="preserve"> can capture part of the disruption if it </w:t>
            </w:r>
            <w:r w:rsidRPr="00D87CEC">
              <w:rPr>
                <w:rFonts w:ascii="Arial" w:hAnsi="Arial" w:cs="Arial"/>
                <w:b/>
                <w:bCs/>
                <w:color w:val="000000" w:themeColor="text1"/>
                <w:sz w:val="16"/>
                <w:szCs w:val="16"/>
              </w:rPr>
              <w:t>affects electricity-mediated nighttime activity</w:t>
            </w:r>
            <w:r w:rsidRPr="00D87CEC">
              <w:rPr>
                <w:rFonts w:ascii="Arial" w:hAnsi="Arial" w:cs="Arial"/>
                <w:color w:val="000000" w:themeColor="text1"/>
                <w:sz w:val="16"/>
                <w:szCs w:val="16"/>
              </w:rPr>
              <w:t xml:space="preserve">, but it </w:t>
            </w:r>
            <w:r w:rsidRPr="00D87CEC">
              <w:rPr>
                <w:rFonts w:ascii="Arial" w:hAnsi="Arial" w:cs="Arial"/>
                <w:b/>
                <w:bCs/>
                <w:color w:val="000000" w:themeColor="text1"/>
                <w:sz w:val="16"/>
                <w:szCs w:val="16"/>
              </w:rPr>
              <w:t>cannot measure total disaster impact</w:t>
            </w:r>
            <w:r w:rsidRPr="00D87CEC">
              <w:rPr>
                <w:rFonts w:ascii="Arial" w:hAnsi="Arial" w:cs="Arial"/>
                <w:color w:val="000000" w:themeColor="text1"/>
                <w:sz w:val="16"/>
                <w:szCs w:val="16"/>
              </w:rPr>
              <w:t>.</w:t>
            </w:r>
          </w:p>
        </w:tc>
      </w:tr>
      <w:tr w:rsidR="007B55D6" w:rsidRPr="00D87CEC" w14:paraId="2CD39421" w14:textId="77777777" w:rsidTr="007B55D6">
        <w:trPr>
          <w:cantSplit/>
          <w:jc w:val="center"/>
        </w:trPr>
        <w:tc>
          <w:tcPr>
            <w:tcW w:w="1550" w:type="dxa"/>
          </w:tcPr>
          <w:p w14:paraId="0BEA5E80"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DRM cycle</w:t>
            </w:r>
          </w:p>
        </w:tc>
        <w:tc>
          <w:tcPr>
            <w:tcW w:w="4385" w:type="dxa"/>
          </w:tcPr>
          <w:p w14:paraId="39381DEE"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The four phases are </w:t>
            </w:r>
            <w:r w:rsidRPr="00D87CEC">
              <w:rPr>
                <w:rFonts w:ascii="Arial" w:hAnsi="Arial" w:cs="Arial"/>
                <w:b/>
                <w:bCs/>
                <w:color w:val="000000" w:themeColor="text1"/>
                <w:sz w:val="16"/>
                <w:szCs w:val="16"/>
              </w:rPr>
              <w:t>response, recovery, mitigation, and preparedness</w:t>
            </w:r>
            <w:r w:rsidRPr="00D87CEC">
              <w:rPr>
                <w:rFonts w:ascii="Arial" w:hAnsi="Arial" w:cs="Arial"/>
                <w:color w:val="000000" w:themeColor="text1"/>
                <w:sz w:val="16"/>
                <w:szCs w:val="16"/>
              </w:rPr>
              <w:t>. Mitigation and preparedness are pre-event; response and recovery occur during and after the event.</w:t>
            </w:r>
          </w:p>
        </w:tc>
        <w:tc>
          <w:tcPr>
            <w:tcW w:w="3081" w:type="dxa"/>
          </w:tcPr>
          <w:p w14:paraId="38E10D9A"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RQ2 sits mainly in response-to-recovery monitoring, but its reliability filters are also preparedness tools for deciding where NTL can be interpreted.</w:t>
            </w:r>
          </w:p>
        </w:tc>
      </w:tr>
      <w:tr w:rsidR="007B55D6" w:rsidRPr="00D87CEC" w14:paraId="0468DCEB" w14:textId="77777777" w:rsidTr="007B55D6">
        <w:trPr>
          <w:cantSplit/>
          <w:jc w:val="center"/>
        </w:trPr>
        <w:tc>
          <w:tcPr>
            <w:tcW w:w="1550" w:type="dxa"/>
          </w:tcPr>
          <w:p w14:paraId="4BE67EE5"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Response</w:t>
            </w:r>
          </w:p>
        </w:tc>
        <w:tc>
          <w:tcPr>
            <w:tcW w:w="4385" w:type="dxa"/>
          </w:tcPr>
          <w:p w14:paraId="649EE6EA"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Emergency services and public assistance </w:t>
            </w:r>
            <w:r w:rsidRPr="00D87CEC">
              <w:rPr>
                <w:rFonts w:ascii="Arial" w:hAnsi="Arial" w:cs="Arial"/>
                <w:b/>
                <w:bCs/>
                <w:color w:val="000000" w:themeColor="text1"/>
                <w:sz w:val="16"/>
                <w:szCs w:val="16"/>
              </w:rPr>
              <w:t>during or immediately after a disaster</w:t>
            </w:r>
            <w:r w:rsidRPr="00D87CEC">
              <w:rPr>
                <w:rFonts w:ascii="Arial" w:hAnsi="Arial" w:cs="Arial"/>
                <w:color w:val="000000" w:themeColor="text1"/>
                <w:sz w:val="16"/>
                <w:szCs w:val="16"/>
              </w:rPr>
              <w:t xml:space="preserve"> to save lives, reduce health impacts, ensure safety, and meet basic needs.</w:t>
            </w:r>
          </w:p>
        </w:tc>
        <w:tc>
          <w:tcPr>
            <w:tcW w:w="3081" w:type="dxa"/>
          </w:tcPr>
          <w:p w14:paraId="3F0D830A"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Daily NTL may detect early </w:t>
            </w:r>
            <w:r w:rsidRPr="00D87CEC">
              <w:rPr>
                <w:rFonts w:ascii="Arial" w:hAnsi="Arial" w:cs="Arial"/>
                <w:b/>
                <w:bCs/>
                <w:color w:val="000000" w:themeColor="text1"/>
                <w:sz w:val="16"/>
                <w:szCs w:val="16"/>
              </w:rPr>
              <w:t>outage or blackout signatures</w:t>
            </w:r>
            <w:r w:rsidRPr="00D87CEC">
              <w:rPr>
                <w:rFonts w:ascii="Arial" w:hAnsi="Arial" w:cs="Arial"/>
                <w:color w:val="000000" w:themeColor="text1"/>
                <w:sz w:val="16"/>
                <w:szCs w:val="16"/>
              </w:rPr>
              <w:t xml:space="preserve">, but response </w:t>
            </w:r>
            <w:r w:rsidRPr="00D87CEC">
              <w:rPr>
                <w:rFonts w:ascii="Arial" w:hAnsi="Arial" w:cs="Arial"/>
                <w:b/>
                <w:bCs/>
                <w:color w:val="000000" w:themeColor="text1"/>
                <w:sz w:val="16"/>
                <w:szCs w:val="16"/>
              </w:rPr>
              <w:t>effectiveness is not directly observable from lights.</w:t>
            </w:r>
          </w:p>
        </w:tc>
      </w:tr>
      <w:tr w:rsidR="007B55D6" w:rsidRPr="00D87CEC" w14:paraId="5465BD2D" w14:textId="77777777" w:rsidTr="007B55D6">
        <w:trPr>
          <w:cantSplit/>
          <w:jc w:val="center"/>
        </w:trPr>
        <w:tc>
          <w:tcPr>
            <w:tcW w:w="1550" w:type="dxa"/>
          </w:tcPr>
          <w:p w14:paraId="45EFE562"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Recovery</w:t>
            </w:r>
          </w:p>
        </w:tc>
        <w:tc>
          <w:tcPr>
            <w:tcW w:w="4385" w:type="dxa"/>
          </w:tcPr>
          <w:p w14:paraId="1F3FBB6B"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bCs/>
                <w:color w:val="000000" w:themeColor="text1"/>
                <w:sz w:val="16"/>
                <w:szCs w:val="16"/>
              </w:rPr>
              <w:t>Restoration</w:t>
            </w:r>
            <w:r w:rsidRPr="00D87CEC">
              <w:rPr>
                <w:rFonts w:ascii="Arial" w:hAnsi="Arial" w:cs="Arial"/>
                <w:color w:val="000000" w:themeColor="text1"/>
                <w:sz w:val="16"/>
                <w:szCs w:val="16"/>
              </w:rPr>
              <w:t xml:space="preserve"> and </w:t>
            </w:r>
            <w:r w:rsidRPr="00D87CEC">
              <w:rPr>
                <w:rFonts w:ascii="Arial" w:hAnsi="Arial" w:cs="Arial"/>
                <w:b/>
                <w:bCs/>
                <w:color w:val="000000" w:themeColor="text1"/>
                <w:sz w:val="16"/>
                <w:szCs w:val="16"/>
              </w:rPr>
              <w:t>improvement of facilities, livelihoods, and living conditions</w:t>
            </w:r>
            <w:r w:rsidRPr="00D87CEC">
              <w:rPr>
                <w:rFonts w:ascii="Arial" w:hAnsi="Arial" w:cs="Arial"/>
                <w:color w:val="000000" w:themeColor="text1"/>
                <w:sz w:val="16"/>
                <w:szCs w:val="16"/>
              </w:rPr>
              <w:t>,</w:t>
            </w:r>
            <w:r w:rsidRPr="00D87CEC">
              <w:rPr>
                <w:rFonts w:ascii="Arial" w:hAnsi="Arial" w:cs="Arial"/>
                <w:b/>
                <w:bCs/>
                <w:color w:val="000000" w:themeColor="text1"/>
                <w:sz w:val="16"/>
                <w:szCs w:val="16"/>
              </w:rPr>
              <w:t xml:space="preserve"> </w:t>
            </w:r>
            <w:r w:rsidRPr="00D87CEC">
              <w:rPr>
                <w:rFonts w:ascii="Arial" w:hAnsi="Arial" w:cs="Arial"/>
                <w:color w:val="000000" w:themeColor="text1"/>
                <w:sz w:val="16"/>
                <w:szCs w:val="16"/>
              </w:rPr>
              <w:t>including reducing future risk. It includes rehabilitation, reconstruction, and functional recovery.</w:t>
            </w:r>
          </w:p>
        </w:tc>
        <w:tc>
          <w:tcPr>
            <w:tcW w:w="3081" w:type="dxa"/>
          </w:tcPr>
          <w:p w14:paraId="6B05B10A"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NTL recovery should be framed as </w:t>
            </w:r>
            <w:r w:rsidRPr="00D87CEC">
              <w:rPr>
                <w:rFonts w:ascii="Arial" w:hAnsi="Arial" w:cs="Arial"/>
                <w:b/>
                <w:bCs/>
                <w:color w:val="000000" w:themeColor="text1"/>
                <w:sz w:val="16"/>
                <w:szCs w:val="16"/>
              </w:rPr>
              <w:t>electricity/light-mediated functional recovery</w:t>
            </w:r>
            <w:r w:rsidRPr="00D87CEC">
              <w:rPr>
                <w:rFonts w:ascii="Arial" w:hAnsi="Arial" w:cs="Arial"/>
                <w:color w:val="000000" w:themeColor="text1"/>
                <w:sz w:val="16"/>
                <w:szCs w:val="16"/>
              </w:rPr>
              <w:t>, not total recovery.</w:t>
            </w:r>
          </w:p>
        </w:tc>
      </w:tr>
      <w:tr w:rsidR="007B55D6" w:rsidRPr="00D87CEC" w14:paraId="294ACF4A" w14:textId="77777777" w:rsidTr="007B55D6">
        <w:trPr>
          <w:cantSplit/>
          <w:jc w:val="center"/>
        </w:trPr>
        <w:tc>
          <w:tcPr>
            <w:tcW w:w="1550" w:type="dxa"/>
          </w:tcPr>
          <w:p w14:paraId="5E173A71"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Rehabilitation</w:t>
            </w:r>
          </w:p>
        </w:tc>
        <w:tc>
          <w:tcPr>
            <w:tcW w:w="4385" w:type="dxa"/>
          </w:tcPr>
          <w:p w14:paraId="3C29EBC0"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bCs/>
                <w:color w:val="000000" w:themeColor="text1"/>
                <w:sz w:val="16"/>
                <w:szCs w:val="16"/>
              </w:rPr>
              <w:t>Early restoration of necessary services, basic economic activities</w:t>
            </w:r>
            <w:r w:rsidRPr="00D87CEC">
              <w:rPr>
                <w:rFonts w:ascii="Arial" w:hAnsi="Arial" w:cs="Arial"/>
                <w:color w:val="000000" w:themeColor="text1"/>
                <w:sz w:val="16"/>
                <w:szCs w:val="16"/>
              </w:rPr>
              <w:t>, and social/psychological support so affected populations can resume essential normal life.</w:t>
            </w:r>
          </w:p>
        </w:tc>
        <w:tc>
          <w:tcPr>
            <w:tcW w:w="3081" w:type="dxa"/>
          </w:tcPr>
          <w:p w14:paraId="2F45F167"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NTL </w:t>
            </w:r>
            <w:r w:rsidRPr="00D87CEC">
              <w:rPr>
                <w:rFonts w:ascii="Arial" w:hAnsi="Arial" w:cs="Arial"/>
                <w:b/>
                <w:bCs/>
                <w:color w:val="000000" w:themeColor="text1"/>
                <w:sz w:val="16"/>
                <w:szCs w:val="16"/>
              </w:rPr>
              <w:t>may</w:t>
            </w:r>
            <w:r w:rsidRPr="00D87CEC">
              <w:rPr>
                <w:rFonts w:ascii="Arial" w:hAnsi="Arial" w:cs="Arial"/>
                <w:color w:val="000000" w:themeColor="text1"/>
                <w:sz w:val="16"/>
                <w:szCs w:val="16"/>
              </w:rPr>
              <w:t xml:space="preserve"> capture </w:t>
            </w:r>
            <w:r w:rsidRPr="00D87CEC">
              <w:rPr>
                <w:rFonts w:ascii="Arial" w:hAnsi="Arial" w:cs="Arial"/>
                <w:b/>
                <w:bCs/>
                <w:color w:val="000000" w:themeColor="text1"/>
                <w:sz w:val="16"/>
                <w:szCs w:val="16"/>
              </w:rPr>
              <w:t>return of basic power and activity</w:t>
            </w:r>
            <w:r w:rsidRPr="00D87CEC">
              <w:rPr>
                <w:rFonts w:ascii="Arial" w:hAnsi="Arial" w:cs="Arial"/>
                <w:color w:val="000000" w:themeColor="text1"/>
                <w:sz w:val="16"/>
                <w:szCs w:val="16"/>
              </w:rPr>
              <w:t>, but it cannot detect psychological or social rehabilitation.</w:t>
            </w:r>
          </w:p>
        </w:tc>
      </w:tr>
      <w:tr w:rsidR="007B55D6" w:rsidRPr="00D87CEC" w14:paraId="23738B44" w14:textId="77777777" w:rsidTr="007B55D6">
        <w:trPr>
          <w:cantSplit/>
          <w:jc w:val="center"/>
        </w:trPr>
        <w:tc>
          <w:tcPr>
            <w:tcW w:w="1550" w:type="dxa"/>
          </w:tcPr>
          <w:p w14:paraId="35FF1FAD"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Reconstruction</w:t>
            </w:r>
          </w:p>
        </w:tc>
        <w:tc>
          <w:tcPr>
            <w:tcW w:w="4385" w:type="dxa"/>
          </w:tcPr>
          <w:p w14:paraId="176F08DE"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bCs/>
                <w:color w:val="000000" w:themeColor="text1"/>
                <w:sz w:val="16"/>
                <w:szCs w:val="16"/>
              </w:rPr>
              <w:t>Restoration of services, infrastructure, and physical structures</w:t>
            </w:r>
            <w:r w:rsidRPr="00D87CEC">
              <w:rPr>
                <w:rFonts w:ascii="Arial" w:hAnsi="Arial" w:cs="Arial"/>
                <w:color w:val="000000" w:themeColor="text1"/>
                <w:sz w:val="16"/>
                <w:szCs w:val="16"/>
              </w:rPr>
              <w:t xml:space="preserve"> such as houses, schools, and hospitals.</w:t>
            </w:r>
          </w:p>
        </w:tc>
        <w:tc>
          <w:tcPr>
            <w:tcW w:w="3081" w:type="dxa"/>
          </w:tcPr>
          <w:p w14:paraId="19B3D809" w14:textId="6B85CA00"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GHSL and VHR imagery can stratify or detect built-up form; NTL cannot confirm whether a building was rebuilt but it can signal emerging settlements.</w:t>
            </w:r>
          </w:p>
        </w:tc>
      </w:tr>
      <w:tr w:rsidR="007B55D6" w:rsidRPr="00D87CEC" w14:paraId="2C15B8BC" w14:textId="77777777" w:rsidTr="007B55D6">
        <w:trPr>
          <w:cantSplit/>
          <w:jc w:val="center"/>
        </w:trPr>
        <w:tc>
          <w:tcPr>
            <w:tcW w:w="1550" w:type="dxa"/>
          </w:tcPr>
          <w:p w14:paraId="22B279CF"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Functional recovery</w:t>
            </w:r>
          </w:p>
        </w:tc>
        <w:tc>
          <w:tcPr>
            <w:tcW w:w="4385" w:type="dxa"/>
          </w:tcPr>
          <w:p w14:paraId="33F7C654" w14:textId="2F46C742"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Whether the </w:t>
            </w:r>
            <w:r w:rsidRPr="00D87CEC">
              <w:rPr>
                <w:rFonts w:ascii="Arial" w:hAnsi="Arial" w:cs="Arial"/>
                <w:b/>
                <w:bCs/>
                <w:color w:val="000000" w:themeColor="text1"/>
                <w:sz w:val="16"/>
                <w:szCs w:val="16"/>
              </w:rPr>
              <w:t xml:space="preserve">reconstructed physical system is </w:t>
            </w:r>
            <w:proofErr w:type="gramStart"/>
            <w:r w:rsidRPr="00D87CEC">
              <w:rPr>
                <w:rFonts w:ascii="Arial" w:hAnsi="Arial" w:cs="Arial"/>
                <w:b/>
                <w:bCs/>
                <w:color w:val="000000" w:themeColor="text1"/>
                <w:sz w:val="16"/>
                <w:szCs w:val="16"/>
              </w:rPr>
              <w:t>actually operating</w:t>
            </w:r>
            <w:proofErr w:type="gramEnd"/>
            <w:r w:rsidRPr="00D87CEC">
              <w:rPr>
                <w:rFonts w:ascii="Arial" w:hAnsi="Arial" w:cs="Arial"/>
                <w:b/>
                <w:bCs/>
                <w:color w:val="000000" w:themeColor="text1"/>
                <w:sz w:val="16"/>
                <w:szCs w:val="16"/>
              </w:rPr>
              <w:t xml:space="preserve"> and used</w:t>
            </w:r>
            <w:r w:rsidRPr="00D87CEC">
              <w:rPr>
                <w:rFonts w:ascii="Arial" w:hAnsi="Arial" w:cs="Arial"/>
                <w:color w:val="000000" w:themeColor="text1"/>
                <w:sz w:val="16"/>
                <w:szCs w:val="16"/>
              </w:rPr>
              <w:t xml:space="preserve">. For example, </w:t>
            </w:r>
            <w:r w:rsidRPr="00D87CEC">
              <w:rPr>
                <w:rFonts w:ascii="Arial" w:hAnsi="Arial" w:cs="Arial"/>
                <w:b/>
                <w:bCs/>
                <w:color w:val="000000" w:themeColor="text1"/>
                <w:sz w:val="16"/>
                <w:szCs w:val="16"/>
              </w:rPr>
              <w:t>a rebuilt hospital without electricity is not functionally recovered.</w:t>
            </w:r>
          </w:p>
        </w:tc>
        <w:tc>
          <w:tcPr>
            <w:tcW w:w="3081" w:type="dxa"/>
          </w:tcPr>
          <w:p w14:paraId="43804CF9"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b/>
                <w:bCs/>
                <w:color w:val="000000" w:themeColor="text1"/>
                <w:sz w:val="16"/>
                <w:szCs w:val="16"/>
              </w:rPr>
              <w:t>This is the strongest bridge to NTL</w:t>
            </w:r>
            <w:r w:rsidRPr="00D87CEC">
              <w:rPr>
                <w:rFonts w:ascii="Arial" w:hAnsi="Arial" w:cs="Arial"/>
                <w:color w:val="000000" w:themeColor="text1"/>
                <w:sz w:val="16"/>
                <w:szCs w:val="16"/>
              </w:rPr>
              <w:t xml:space="preserve">: light restoration can indicate part of functional recovery, especially </w:t>
            </w:r>
            <w:r w:rsidRPr="00D87CEC">
              <w:rPr>
                <w:rFonts w:ascii="Arial" w:hAnsi="Arial" w:cs="Arial"/>
                <w:b/>
                <w:bCs/>
                <w:color w:val="000000" w:themeColor="text1"/>
                <w:sz w:val="16"/>
                <w:szCs w:val="16"/>
              </w:rPr>
              <w:t>electricity-dependent urban activity</w:t>
            </w:r>
            <w:r w:rsidRPr="00D87CEC">
              <w:rPr>
                <w:rFonts w:ascii="Arial" w:hAnsi="Arial" w:cs="Arial"/>
                <w:color w:val="000000" w:themeColor="text1"/>
                <w:sz w:val="16"/>
                <w:szCs w:val="16"/>
              </w:rPr>
              <w:t>.</w:t>
            </w:r>
          </w:p>
        </w:tc>
      </w:tr>
      <w:tr w:rsidR="007B55D6" w:rsidRPr="00D87CEC" w14:paraId="40AB8108" w14:textId="77777777" w:rsidTr="007B55D6">
        <w:trPr>
          <w:cantSplit/>
          <w:jc w:val="center"/>
        </w:trPr>
        <w:tc>
          <w:tcPr>
            <w:tcW w:w="1550" w:type="dxa"/>
          </w:tcPr>
          <w:p w14:paraId="585CDAB0"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Resilience</w:t>
            </w:r>
          </w:p>
        </w:tc>
        <w:tc>
          <w:tcPr>
            <w:tcW w:w="4385" w:type="dxa"/>
          </w:tcPr>
          <w:p w14:paraId="7D3E7C55"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Capacity to resist, absorb, accommodate, and recover from hazard effects while preserving or restoring basic structures and functions.</w:t>
            </w:r>
          </w:p>
        </w:tc>
        <w:tc>
          <w:tcPr>
            <w:tcW w:w="3081" w:type="dxa"/>
          </w:tcPr>
          <w:p w14:paraId="6134C662"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RQ2 should avoid equating faster NTL rebound with resilience unless supported by observability, baseline behavior, and contextual evidence.</w:t>
            </w:r>
          </w:p>
        </w:tc>
      </w:tr>
      <w:tr w:rsidR="007B55D6" w:rsidRPr="00D87CEC" w14:paraId="786AF82E" w14:textId="77777777" w:rsidTr="007B55D6">
        <w:trPr>
          <w:cantSplit/>
          <w:jc w:val="center"/>
        </w:trPr>
        <w:tc>
          <w:tcPr>
            <w:tcW w:w="1550" w:type="dxa"/>
          </w:tcPr>
          <w:p w14:paraId="0E81EB2C"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Build back better</w:t>
            </w:r>
          </w:p>
        </w:tc>
        <w:tc>
          <w:tcPr>
            <w:tcW w:w="4385" w:type="dxa"/>
          </w:tcPr>
          <w:p w14:paraId="2927B39A"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Recovery as a </w:t>
            </w:r>
            <w:r w:rsidRPr="00D87CEC">
              <w:rPr>
                <w:rFonts w:ascii="Arial" w:hAnsi="Arial" w:cs="Arial"/>
                <w:b/>
                <w:bCs/>
                <w:color w:val="000000" w:themeColor="text1"/>
                <w:sz w:val="16"/>
                <w:szCs w:val="16"/>
              </w:rPr>
              <w:t>window to reduce pre-existing vulnerability and improve physical, social, economic, and environmental conditions</w:t>
            </w:r>
            <w:r w:rsidRPr="00D87CEC">
              <w:rPr>
                <w:rFonts w:ascii="Arial" w:hAnsi="Arial" w:cs="Arial"/>
                <w:color w:val="000000" w:themeColor="text1"/>
                <w:sz w:val="16"/>
                <w:szCs w:val="16"/>
              </w:rPr>
              <w:t>.</w:t>
            </w:r>
          </w:p>
        </w:tc>
        <w:tc>
          <w:tcPr>
            <w:tcW w:w="3081" w:type="dxa"/>
          </w:tcPr>
          <w:p w14:paraId="7321F2C2" w14:textId="77777777" w:rsidR="007B55D6" w:rsidRPr="00D87CEC" w:rsidRDefault="007B55D6" w:rsidP="007B55D6">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A return to baseline NTL is not necessarily build back better. It may indicate restoration, stagnation, or even maladaptive redevelopment.</w:t>
            </w:r>
          </w:p>
        </w:tc>
      </w:tr>
    </w:tbl>
    <w:p w14:paraId="6A282575" w14:textId="77777777" w:rsidR="00797AA2" w:rsidRPr="00D87CEC" w:rsidRDefault="00797AA2" w:rsidP="00797AA2">
      <w:pPr>
        <w:pStyle w:val="Heading2"/>
        <w:rPr>
          <w:rFonts w:ascii="Arial" w:hAnsi="Arial" w:cs="Arial"/>
          <w:b/>
          <w:bCs/>
          <w:color w:val="000000" w:themeColor="text1"/>
          <w:sz w:val="24"/>
          <w:szCs w:val="24"/>
        </w:rPr>
      </w:pPr>
      <w:bookmarkStart w:id="1" w:name="_Toc234318900"/>
      <w:r w:rsidRPr="00D87CEC">
        <w:rPr>
          <w:rFonts w:ascii="Arial" w:hAnsi="Arial" w:cs="Arial"/>
          <w:b/>
          <w:bCs/>
          <w:color w:val="000000" w:themeColor="text1"/>
          <w:sz w:val="24"/>
          <w:szCs w:val="24"/>
        </w:rPr>
        <w:lastRenderedPageBreak/>
        <w:t>1.2 Core formulas and their interpretation</w:t>
      </w:r>
      <w:bookmarkEnd w:id="1"/>
    </w:p>
    <w:tbl>
      <w:tblPr>
        <w:tblStyle w:val="TableGrid"/>
        <w:tblW w:w="0" w:type="auto"/>
        <w:jc w:val="center"/>
        <w:tblLook w:val="04A0" w:firstRow="1" w:lastRow="0" w:firstColumn="1" w:lastColumn="0" w:noHBand="0" w:noVBand="1"/>
      </w:tblPr>
      <w:tblGrid>
        <w:gridCol w:w="2673"/>
        <w:gridCol w:w="3162"/>
        <w:gridCol w:w="3181"/>
      </w:tblGrid>
      <w:tr w:rsidR="00483187" w:rsidRPr="00D87CEC" w14:paraId="3A3FE8F0" w14:textId="77777777" w:rsidTr="00483187">
        <w:trPr>
          <w:cantSplit/>
          <w:tblHeader/>
          <w:jc w:val="center"/>
        </w:trPr>
        <w:tc>
          <w:tcPr>
            <w:tcW w:w="2952" w:type="dxa"/>
            <w:shd w:val="clear" w:color="auto" w:fill="FFC000"/>
          </w:tcPr>
          <w:p w14:paraId="2D4B827E" w14:textId="77777777" w:rsidR="00483187" w:rsidRPr="00D87CEC" w:rsidRDefault="00483187" w:rsidP="00483187">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Formula</w:t>
            </w:r>
          </w:p>
        </w:tc>
        <w:tc>
          <w:tcPr>
            <w:tcW w:w="4032" w:type="dxa"/>
            <w:shd w:val="clear" w:color="auto" w:fill="FFC000"/>
          </w:tcPr>
          <w:p w14:paraId="44D9ECD9" w14:textId="77777777" w:rsidR="00483187" w:rsidRPr="00D87CEC" w:rsidRDefault="00483187" w:rsidP="00483187">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Reasoning</w:t>
            </w:r>
          </w:p>
        </w:tc>
        <w:tc>
          <w:tcPr>
            <w:tcW w:w="4032" w:type="dxa"/>
            <w:shd w:val="clear" w:color="auto" w:fill="FFC000"/>
          </w:tcPr>
          <w:p w14:paraId="776008D6" w14:textId="7A8090BA" w:rsidR="00483187" w:rsidRPr="00D87CEC" w:rsidRDefault="00483187" w:rsidP="00483187">
            <w:pPr>
              <w:spacing w:line="276" w:lineRule="auto"/>
              <w:rPr>
                <w:rFonts w:ascii="Arial" w:hAnsi="Arial" w:cs="Arial"/>
                <w:color w:val="000000" w:themeColor="text1"/>
                <w:sz w:val="16"/>
                <w:szCs w:val="16"/>
              </w:rPr>
            </w:pPr>
            <w:r w:rsidRPr="00D87CEC">
              <w:rPr>
                <w:rFonts w:ascii="Arial" w:hAnsi="Arial" w:cs="Arial"/>
                <w:b/>
                <w:color w:val="000000" w:themeColor="text1"/>
                <w:sz w:val="16"/>
                <w:szCs w:val="16"/>
              </w:rPr>
              <w:t>Implication</w:t>
            </w:r>
          </w:p>
        </w:tc>
      </w:tr>
      <w:tr w:rsidR="00483187" w:rsidRPr="00D87CEC" w14:paraId="72C0C281" w14:textId="77777777" w:rsidTr="00CE69B4">
        <w:trPr>
          <w:cantSplit/>
          <w:jc w:val="center"/>
        </w:trPr>
        <w:tc>
          <w:tcPr>
            <w:tcW w:w="2952" w:type="dxa"/>
          </w:tcPr>
          <w:p w14:paraId="21488E23" w14:textId="77777777"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 xml:space="preserve">Risk = </m:t>
                </m:r>
              </m:oMath>
            </m:oMathPara>
          </w:p>
          <w:p w14:paraId="2A66BBB2" w14:textId="3A531B3C"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 xml:space="preserve">(Hazard x </m:t>
                </m:r>
              </m:oMath>
            </m:oMathPara>
          </w:p>
          <w:p w14:paraId="74540C07" w14:textId="77777777"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 xml:space="preserve">Exposure x </m:t>
                </m:r>
              </m:oMath>
            </m:oMathPara>
          </w:p>
          <w:p w14:paraId="6D335443" w14:textId="77777777"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 xml:space="preserve">Vulnerability) / </m:t>
                </m:r>
              </m:oMath>
            </m:oMathPara>
          </w:p>
          <w:p w14:paraId="40D807F1" w14:textId="71CD5499"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Resilience</m:t>
                </m:r>
              </m:oMath>
            </m:oMathPara>
          </w:p>
        </w:tc>
        <w:tc>
          <w:tcPr>
            <w:tcW w:w="4032" w:type="dxa"/>
          </w:tcPr>
          <w:p w14:paraId="3AB590B4" w14:textId="77777777" w:rsidR="00483187" w:rsidRPr="00D87CEC" w:rsidRDefault="00483187" w:rsidP="00483187">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Disaster risk is intensified by hazard magnitude, exposed assets/populations, and vulnerability, and reduced by resilience. The formula emphasizes that </w:t>
            </w:r>
            <w:r w:rsidRPr="00D87CEC">
              <w:rPr>
                <w:rFonts w:ascii="Arial" w:hAnsi="Arial" w:cs="Arial"/>
                <w:b/>
                <w:bCs/>
                <w:color w:val="000000" w:themeColor="text1"/>
                <w:sz w:val="16"/>
                <w:szCs w:val="16"/>
              </w:rPr>
              <w:t>resilience modifies the expected consequences of a hazard</w:t>
            </w:r>
            <w:r w:rsidRPr="00D87CEC">
              <w:rPr>
                <w:rFonts w:ascii="Arial" w:hAnsi="Arial" w:cs="Arial"/>
                <w:color w:val="000000" w:themeColor="text1"/>
                <w:sz w:val="16"/>
                <w:szCs w:val="16"/>
              </w:rPr>
              <w:t>.</w:t>
            </w:r>
          </w:p>
        </w:tc>
        <w:tc>
          <w:tcPr>
            <w:tcW w:w="4032" w:type="dxa"/>
          </w:tcPr>
          <w:p w14:paraId="627D0F4C" w14:textId="77777777" w:rsidR="00483187" w:rsidRPr="00D87CEC" w:rsidRDefault="00483187" w:rsidP="00483187">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 xml:space="preserve">NTL is not a full risk variable. It can support the </w:t>
            </w:r>
            <w:r w:rsidRPr="00D87CEC">
              <w:rPr>
                <w:rFonts w:ascii="Arial" w:hAnsi="Arial" w:cs="Arial"/>
                <w:b/>
                <w:bCs/>
                <w:color w:val="000000" w:themeColor="text1"/>
                <w:sz w:val="16"/>
                <w:szCs w:val="16"/>
              </w:rPr>
              <w:t>exposure/recovery</w:t>
            </w:r>
            <w:r w:rsidRPr="00D87CEC">
              <w:rPr>
                <w:rFonts w:ascii="Arial" w:hAnsi="Arial" w:cs="Arial"/>
                <w:color w:val="000000" w:themeColor="text1"/>
                <w:sz w:val="16"/>
                <w:szCs w:val="16"/>
              </w:rPr>
              <w:t xml:space="preserve"> side by showing where </w:t>
            </w:r>
            <w:r w:rsidRPr="00D87CEC">
              <w:rPr>
                <w:rFonts w:ascii="Arial" w:hAnsi="Arial" w:cs="Arial"/>
                <w:b/>
                <w:bCs/>
                <w:color w:val="000000" w:themeColor="text1"/>
                <w:sz w:val="16"/>
                <w:szCs w:val="16"/>
              </w:rPr>
              <w:t>lit settlements or electricity-mediated activities changed</w:t>
            </w:r>
            <w:r w:rsidRPr="00D87CEC">
              <w:rPr>
                <w:rFonts w:ascii="Arial" w:hAnsi="Arial" w:cs="Arial"/>
                <w:color w:val="000000" w:themeColor="text1"/>
                <w:sz w:val="16"/>
                <w:szCs w:val="16"/>
              </w:rPr>
              <w:t>. GHSL strengthens exposure stratification by settlement morphology.</w:t>
            </w:r>
          </w:p>
        </w:tc>
      </w:tr>
      <w:tr w:rsidR="00483187" w:rsidRPr="00D87CEC" w14:paraId="1233CB68" w14:textId="77777777" w:rsidTr="00CE69B4">
        <w:trPr>
          <w:cantSplit/>
          <w:jc w:val="center"/>
        </w:trPr>
        <w:tc>
          <w:tcPr>
            <w:tcW w:w="2952" w:type="dxa"/>
          </w:tcPr>
          <w:p w14:paraId="057FED12" w14:textId="77777777"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 xml:space="preserve">Risk to welfare = Expected asset losses / Socioeconomic resilience = (Hazard x </m:t>
                </m:r>
              </m:oMath>
            </m:oMathPara>
          </w:p>
          <w:p w14:paraId="35A80DF3" w14:textId="77777777"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 xml:space="preserve">Exposure x </m:t>
                </m:r>
              </m:oMath>
            </m:oMathPara>
          </w:p>
          <w:p w14:paraId="67F2BE48" w14:textId="63F12868" w:rsidR="00483187" w:rsidRPr="00D87CEC" w:rsidRDefault="00483187" w:rsidP="00483187">
            <w:pPr>
              <w:spacing w:line="276" w:lineRule="auto"/>
              <w:jc w:val="both"/>
              <w:rPr>
                <w:rFonts w:ascii="Arial" w:hAnsi="Arial" w:cs="Arial"/>
                <w:color w:val="000000" w:themeColor="text1"/>
                <w:sz w:val="16"/>
                <w:szCs w:val="16"/>
              </w:rPr>
            </w:pPr>
            <m:oMathPara>
              <m:oMathParaPr>
                <m:jc m:val="left"/>
              </m:oMathParaPr>
              <m:oMath>
                <m:r>
                  <w:rPr>
                    <w:rFonts w:ascii="Cambria Math" w:hAnsi="Cambria Math" w:cs="Arial"/>
                    <w:color w:val="000000" w:themeColor="text1"/>
                    <w:sz w:val="16"/>
                    <w:szCs w:val="16"/>
                  </w:rPr>
                  <m:t>Asset vulnerability) / Socioeconomic resilience</m:t>
                </m:r>
              </m:oMath>
            </m:oMathPara>
          </w:p>
        </w:tc>
        <w:tc>
          <w:tcPr>
            <w:tcW w:w="4032" w:type="dxa"/>
          </w:tcPr>
          <w:p w14:paraId="667AADE4" w14:textId="77777777" w:rsidR="00483187" w:rsidRPr="00D87CEC" w:rsidRDefault="00483187" w:rsidP="00483187">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The welfare impact of asset losses depends on socioeconomic resilience, not just the physical asset loss itself (</w:t>
            </w:r>
            <w:proofErr w:type="spellStart"/>
            <w:r w:rsidRPr="00D87CEC">
              <w:rPr>
                <w:rFonts w:ascii="Arial" w:hAnsi="Arial" w:cs="Arial"/>
                <w:color w:val="000000" w:themeColor="text1"/>
                <w:sz w:val="16"/>
                <w:szCs w:val="16"/>
              </w:rPr>
              <w:t>Hallegatte</w:t>
            </w:r>
            <w:proofErr w:type="spellEnd"/>
            <w:r w:rsidRPr="00D87CEC">
              <w:rPr>
                <w:rFonts w:ascii="Arial" w:hAnsi="Arial" w:cs="Arial"/>
                <w:color w:val="000000" w:themeColor="text1"/>
                <w:sz w:val="16"/>
                <w:szCs w:val="16"/>
              </w:rPr>
              <w:t xml:space="preserve"> et al., 2016).</w:t>
            </w:r>
          </w:p>
        </w:tc>
        <w:tc>
          <w:tcPr>
            <w:tcW w:w="4032" w:type="dxa"/>
          </w:tcPr>
          <w:p w14:paraId="0B6DE696" w14:textId="77777777" w:rsidR="00483187" w:rsidRPr="00D87CEC" w:rsidRDefault="00483187" w:rsidP="00483187">
            <w:pPr>
              <w:spacing w:line="276" w:lineRule="auto"/>
              <w:rPr>
                <w:rFonts w:ascii="Arial" w:hAnsi="Arial" w:cs="Arial"/>
                <w:color w:val="000000" w:themeColor="text1"/>
                <w:sz w:val="16"/>
                <w:szCs w:val="16"/>
              </w:rPr>
            </w:pPr>
            <w:r w:rsidRPr="00D87CEC">
              <w:rPr>
                <w:rFonts w:ascii="Arial" w:hAnsi="Arial" w:cs="Arial"/>
                <w:color w:val="000000" w:themeColor="text1"/>
                <w:sz w:val="16"/>
                <w:szCs w:val="16"/>
              </w:rPr>
              <w:t>A radiance drop is closer to a disruption signal than welfare loss. It cannot infer household coping capacity, inequality, or welfare without external socioeconomic data.</w:t>
            </w:r>
          </w:p>
        </w:tc>
      </w:tr>
    </w:tbl>
    <w:p w14:paraId="19618FDA" w14:textId="77777777" w:rsidR="000425D4" w:rsidRPr="00D87CEC" w:rsidRDefault="000425D4" w:rsidP="000425D4">
      <w:pPr>
        <w:pStyle w:val="Heading2"/>
        <w:rPr>
          <w:rFonts w:ascii="Arial" w:hAnsi="Arial" w:cs="Arial"/>
          <w:b/>
          <w:bCs/>
          <w:color w:val="000000" w:themeColor="text1"/>
          <w:sz w:val="24"/>
          <w:szCs w:val="24"/>
        </w:rPr>
      </w:pPr>
      <w:bookmarkStart w:id="2" w:name="_Toc234318901"/>
      <w:r w:rsidRPr="00D87CEC">
        <w:rPr>
          <w:rFonts w:ascii="Arial" w:hAnsi="Arial" w:cs="Arial"/>
          <w:b/>
          <w:bCs/>
          <w:color w:val="000000" w:themeColor="text1"/>
          <w:sz w:val="24"/>
          <w:szCs w:val="24"/>
        </w:rPr>
        <w:t>1.3 Recovery, reconstruction, rehabilitation, and resilience: why the distinctions matter</w:t>
      </w:r>
      <w:bookmarkEnd w:id="2"/>
    </w:p>
    <w:p w14:paraId="4ED8617B" w14:textId="77777777" w:rsidR="000425D4" w:rsidRPr="00D87CEC" w:rsidRDefault="000425D4" w:rsidP="000425D4">
      <w:pPr>
        <w:rPr>
          <w:rFonts w:ascii="Arial" w:hAnsi="Arial" w:cs="Arial"/>
          <w:b/>
          <w:bCs/>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separates recovery from reconstruction and rehabilitation to avoid reducing post-disaster recovery to visible physical repair. Rehabilitation is the early resumption of essential services and basic life functions. Reconstruction is the rebuilding of services, infrastructure, and physical structures. Recovery includes </w:t>
      </w:r>
      <w:proofErr w:type="gramStart"/>
      <w:r w:rsidRPr="00D87CEC">
        <w:rPr>
          <w:rFonts w:ascii="Arial" w:hAnsi="Arial" w:cs="Arial"/>
          <w:color w:val="000000" w:themeColor="text1"/>
          <w:sz w:val="20"/>
          <w:szCs w:val="20"/>
        </w:rPr>
        <w:t>both, but</w:t>
      </w:r>
      <w:proofErr w:type="gramEnd"/>
      <w:r w:rsidRPr="00D87CEC">
        <w:rPr>
          <w:rFonts w:ascii="Arial" w:hAnsi="Arial" w:cs="Arial"/>
          <w:color w:val="000000" w:themeColor="text1"/>
          <w:sz w:val="20"/>
          <w:szCs w:val="20"/>
        </w:rPr>
        <w:t xml:space="preserve"> extends to full functional recovery. The thesis stresses that a </w:t>
      </w:r>
      <w:r w:rsidRPr="00D87CEC">
        <w:rPr>
          <w:rFonts w:ascii="Arial" w:hAnsi="Arial" w:cs="Arial"/>
          <w:b/>
          <w:bCs/>
          <w:color w:val="000000" w:themeColor="text1"/>
          <w:sz w:val="20"/>
          <w:szCs w:val="20"/>
        </w:rPr>
        <w:t>newly reconstructed building does not represent successful recovery if it remains empty, disconnected from jobs, or lacks electricity.</w:t>
      </w:r>
    </w:p>
    <w:p w14:paraId="672B070E" w14:textId="653ACD2C" w:rsidR="000425D4" w:rsidRPr="00D87CEC" w:rsidRDefault="000425D4" w:rsidP="00283EDC">
      <w:pPr>
        <w:rPr>
          <w:rFonts w:ascii="Arial" w:hAnsi="Arial" w:cs="Arial"/>
          <w:color w:val="000000" w:themeColor="text1"/>
          <w:sz w:val="20"/>
          <w:szCs w:val="20"/>
        </w:rPr>
      </w:pPr>
      <w:r w:rsidRPr="00D87CEC">
        <w:rPr>
          <w:rFonts w:ascii="Arial" w:hAnsi="Arial" w:cs="Arial"/>
          <w:color w:val="000000" w:themeColor="text1"/>
          <w:sz w:val="20"/>
          <w:szCs w:val="20"/>
        </w:rPr>
        <w:t xml:space="preserve">This distinction is directly relevant to nighttime lights. </w:t>
      </w:r>
      <w:r w:rsidRPr="00D87CEC">
        <w:rPr>
          <w:rFonts w:ascii="Arial" w:hAnsi="Arial" w:cs="Arial"/>
          <w:b/>
          <w:bCs/>
          <w:color w:val="000000" w:themeColor="text1"/>
          <w:sz w:val="20"/>
          <w:szCs w:val="20"/>
        </w:rPr>
        <w:t>NTL can help observe one functional layer: whether nighttime lighting and electricity-mediated activity returned.</w:t>
      </w:r>
      <w:r w:rsidRPr="00D87CEC">
        <w:rPr>
          <w:rFonts w:ascii="Arial" w:hAnsi="Arial" w:cs="Arial"/>
          <w:color w:val="000000" w:themeColor="text1"/>
          <w:sz w:val="20"/>
          <w:szCs w:val="20"/>
        </w:rPr>
        <w:t xml:space="preserve"> It cannot prove that households returned, that livelihoods recovered, that services are equitable, or that infrastructure quality improved. Therefore, an NTL-based recovery metric should be named precisely: impact drop in observed nighttime lights, return toward baseline radiance, duration below baseline, or post-event light stability. </w:t>
      </w:r>
      <w:r w:rsidRPr="00D87CEC">
        <w:rPr>
          <w:rFonts w:ascii="Arial" w:hAnsi="Arial" w:cs="Arial"/>
          <w:b/>
          <w:bCs/>
          <w:color w:val="000000" w:themeColor="text1"/>
          <w:sz w:val="20"/>
          <w:szCs w:val="20"/>
        </w:rPr>
        <w:t>It should not be described as total social or economic recovery.</w:t>
      </w:r>
    </w:p>
    <w:p w14:paraId="0326EB3B" w14:textId="77777777" w:rsidR="00C97C46" w:rsidRPr="00D87CEC" w:rsidRDefault="00C97C46" w:rsidP="00C97C46">
      <w:pPr>
        <w:pStyle w:val="Heading2"/>
        <w:rPr>
          <w:rFonts w:ascii="Arial" w:hAnsi="Arial" w:cs="Arial"/>
          <w:b/>
          <w:bCs/>
          <w:color w:val="000000" w:themeColor="text1"/>
          <w:sz w:val="24"/>
          <w:szCs w:val="24"/>
        </w:rPr>
      </w:pPr>
      <w:bookmarkStart w:id="3" w:name="_Toc234318902"/>
      <w:r w:rsidRPr="00D87CEC">
        <w:rPr>
          <w:rFonts w:ascii="Arial" w:hAnsi="Arial" w:cs="Arial"/>
          <w:b/>
          <w:bCs/>
          <w:color w:val="000000" w:themeColor="text1"/>
          <w:sz w:val="24"/>
          <w:szCs w:val="24"/>
        </w:rPr>
        <w:t>1.4 Remote sensing logic in Chapter 1</w:t>
      </w:r>
      <w:bookmarkEnd w:id="3"/>
    </w:p>
    <w:p w14:paraId="071AD95B" w14:textId="77777777" w:rsidR="00C97C46" w:rsidRPr="00D87CEC" w:rsidRDefault="00C97C46" w:rsidP="00C97C46">
      <w:pPr>
        <w:rPr>
          <w:rFonts w:ascii="Arial" w:hAnsi="Arial" w:cs="Arial"/>
          <w:color w:val="000000" w:themeColor="text1"/>
          <w:sz w:val="20"/>
          <w:szCs w:val="20"/>
        </w:rPr>
      </w:pPr>
      <w:r w:rsidRPr="00D87CEC">
        <w:rPr>
          <w:rFonts w:ascii="Arial" w:hAnsi="Arial" w:cs="Arial"/>
          <w:color w:val="000000" w:themeColor="text1"/>
          <w:sz w:val="20"/>
          <w:szCs w:val="20"/>
        </w:rPr>
        <w:t xml:space="preserve">Chapter 1 frames remote sensing as useful across the DRM cycle because it provides synoptic, repeatable, spatially explicit information. However, it also notes that </w:t>
      </w:r>
      <w:r w:rsidRPr="00D87CEC">
        <w:rPr>
          <w:rFonts w:ascii="Arial" w:hAnsi="Arial" w:cs="Arial"/>
          <w:b/>
          <w:bCs/>
          <w:color w:val="000000" w:themeColor="text1"/>
          <w:sz w:val="20"/>
          <w:szCs w:val="20"/>
        </w:rPr>
        <w:t>recovery assessment has received much less attention than damage assessment because recovery usually cannot be assessed directly</w:t>
      </w:r>
      <w:r w:rsidRPr="00D87CEC">
        <w:rPr>
          <w:rFonts w:ascii="Arial" w:hAnsi="Arial" w:cs="Arial"/>
          <w:color w:val="000000" w:themeColor="text1"/>
          <w:sz w:val="20"/>
          <w:szCs w:val="20"/>
        </w:rPr>
        <w:t>. This motivates the need for indicators and proxies.</w:t>
      </w:r>
    </w:p>
    <w:tbl>
      <w:tblPr>
        <w:tblStyle w:val="TableGrid"/>
        <w:tblW w:w="9020" w:type="dxa"/>
        <w:jc w:val="center"/>
        <w:tblLook w:val="04A0" w:firstRow="1" w:lastRow="0" w:firstColumn="1" w:lastColumn="0" w:noHBand="0" w:noVBand="1"/>
      </w:tblPr>
      <w:tblGrid>
        <w:gridCol w:w="2070"/>
        <w:gridCol w:w="3461"/>
        <w:gridCol w:w="3489"/>
      </w:tblGrid>
      <w:tr w:rsidR="00C97C46" w:rsidRPr="00D87CEC" w14:paraId="42D8A38E" w14:textId="77777777" w:rsidTr="00403F2A">
        <w:trPr>
          <w:cantSplit/>
          <w:tblHeader/>
          <w:jc w:val="center"/>
        </w:trPr>
        <w:tc>
          <w:tcPr>
            <w:tcW w:w="2070" w:type="dxa"/>
            <w:shd w:val="clear" w:color="auto" w:fill="FFC000"/>
          </w:tcPr>
          <w:p w14:paraId="2C111DE7" w14:textId="77777777" w:rsidR="00C97C46" w:rsidRPr="00D87CEC" w:rsidRDefault="00C97C46" w:rsidP="005A5EBA">
            <w:pPr>
              <w:rPr>
                <w:rFonts w:ascii="Arial" w:hAnsi="Arial" w:cs="Arial"/>
                <w:color w:val="000000" w:themeColor="text1"/>
                <w:sz w:val="16"/>
                <w:szCs w:val="16"/>
              </w:rPr>
            </w:pPr>
            <w:r w:rsidRPr="00D87CEC">
              <w:rPr>
                <w:rFonts w:ascii="Arial" w:hAnsi="Arial" w:cs="Arial"/>
                <w:b/>
                <w:color w:val="000000" w:themeColor="text1"/>
                <w:sz w:val="16"/>
                <w:szCs w:val="16"/>
              </w:rPr>
              <w:t>Remote sensing role</w:t>
            </w:r>
          </w:p>
        </w:tc>
        <w:tc>
          <w:tcPr>
            <w:tcW w:w="3461" w:type="dxa"/>
            <w:shd w:val="clear" w:color="auto" w:fill="FFC000"/>
          </w:tcPr>
          <w:p w14:paraId="27B4E6F9" w14:textId="77777777" w:rsidR="00C97C46" w:rsidRPr="00D87CEC" w:rsidRDefault="00C97C46" w:rsidP="005A5EBA">
            <w:pPr>
              <w:rPr>
                <w:rFonts w:ascii="Arial" w:hAnsi="Arial" w:cs="Arial"/>
                <w:color w:val="000000" w:themeColor="text1"/>
                <w:sz w:val="16"/>
                <w:szCs w:val="16"/>
              </w:rPr>
            </w:pPr>
            <w:r w:rsidRPr="00D87CEC">
              <w:rPr>
                <w:rFonts w:ascii="Arial" w:hAnsi="Arial" w:cs="Arial"/>
                <w:b/>
                <w:color w:val="000000" w:themeColor="text1"/>
                <w:sz w:val="16"/>
                <w:szCs w:val="16"/>
              </w:rPr>
              <w:t>Chapter 1 framing</w:t>
            </w:r>
          </w:p>
        </w:tc>
        <w:tc>
          <w:tcPr>
            <w:tcW w:w="3489" w:type="dxa"/>
            <w:shd w:val="clear" w:color="auto" w:fill="FFC000"/>
          </w:tcPr>
          <w:p w14:paraId="620DB4A9" w14:textId="77777777" w:rsidR="00C97C46" w:rsidRPr="00D87CEC" w:rsidRDefault="00C97C46" w:rsidP="005A5EBA">
            <w:pPr>
              <w:rPr>
                <w:rFonts w:ascii="Arial" w:hAnsi="Arial" w:cs="Arial"/>
                <w:color w:val="000000" w:themeColor="text1"/>
                <w:sz w:val="16"/>
                <w:szCs w:val="16"/>
              </w:rPr>
            </w:pPr>
            <w:r w:rsidRPr="00D87CEC">
              <w:rPr>
                <w:rFonts w:ascii="Arial" w:hAnsi="Arial" w:cs="Arial"/>
                <w:b/>
                <w:color w:val="000000" w:themeColor="text1"/>
                <w:sz w:val="16"/>
                <w:szCs w:val="16"/>
              </w:rPr>
              <w:t>NTL translation</w:t>
            </w:r>
          </w:p>
        </w:tc>
      </w:tr>
      <w:tr w:rsidR="00C97C46" w:rsidRPr="00D87CEC" w14:paraId="5155DE81" w14:textId="77777777" w:rsidTr="00403F2A">
        <w:trPr>
          <w:cantSplit/>
          <w:jc w:val="center"/>
        </w:trPr>
        <w:tc>
          <w:tcPr>
            <w:tcW w:w="2070" w:type="dxa"/>
          </w:tcPr>
          <w:p w14:paraId="0C074CE4"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Damage assessment</w:t>
            </w:r>
          </w:p>
        </w:tc>
        <w:tc>
          <w:tcPr>
            <w:tcW w:w="3461" w:type="dxa"/>
          </w:tcPr>
          <w:p w14:paraId="0F1D7330"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Often focuses on buildings, roads, infrastructure, debris, flood extent, vegetation loss, or other visible physical changes.</w:t>
            </w:r>
          </w:p>
        </w:tc>
        <w:tc>
          <w:tcPr>
            <w:tcW w:w="3489" w:type="dxa"/>
          </w:tcPr>
          <w:p w14:paraId="77D8C04A"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DNB-BRDF NTL can show blackout or reduced activity, but not the structural cause.</w:t>
            </w:r>
          </w:p>
        </w:tc>
      </w:tr>
      <w:tr w:rsidR="00C97C46" w:rsidRPr="00D87CEC" w14:paraId="1EE60B31" w14:textId="77777777" w:rsidTr="00403F2A">
        <w:trPr>
          <w:cantSplit/>
          <w:jc w:val="center"/>
        </w:trPr>
        <w:tc>
          <w:tcPr>
            <w:tcW w:w="2070" w:type="dxa"/>
          </w:tcPr>
          <w:p w14:paraId="6645CBDC"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Recovery assessment</w:t>
            </w:r>
          </w:p>
        </w:tc>
        <w:tc>
          <w:tcPr>
            <w:tcW w:w="3461" w:type="dxa"/>
          </w:tcPr>
          <w:p w14:paraId="1EAA9E53"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Requires repeated observations and proxy interpretation; conventional methods often focus on building reconstruction or land cover change.</w:t>
            </w:r>
          </w:p>
        </w:tc>
        <w:tc>
          <w:tcPr>
            <w:tcW w:w="3489" w:type="dxa"/>
          </w:tcPr>
          <w:p w14:paraId="1288A31B" w14:textId="0290F504"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 xml:space="preserve">Daily VIIRS can add temporal depth by measuring </w:t>
            </w:r>
            <w:r w:rsidR="00693E05" w:rsidRPr="00D87CEC">
              <w:rPr>
                <w:rFonts w:ascii="Arial" w:hAnsi="Arial" w:cs="Arial"/>
                <w:color w:val="000000" w:themeColor="text1"/>
                <w:sz w:val="16"/>
                <w:szCs w:val="16"/>
              </w:rPr>
              <w:t>impact</w:t>
            </w:r>
            <w:r w:rsidRPr="00D87CEC">
              <w:rPr>
                <w:rFonts w:ascii="Arial" w:hAnsi="Arial" w:cs="Arial"/>
                <w:color w:val="000000" w:themeColor="text1"/>
                <w:sz w:val="16"/>
                <w:szCs w:val="16"/>
              </w:rPr>
              <w:t>, delay, and rebound under observability constraints.</w:t>
            </w:r>
          </w:p>
        </w:tc>
      </w:tr>
      <w:tr w:rsidR="00C97C46" w:rsidRPr="00D87CEC" w14:paraId="5F14773E" w14:textId="77777777" w:rsidTr="00403F2A">
        <w:trPr>
          <w:cantSplit/>
          <w:jc w:val="center"/>
        </w:trPr>
        <w:tc>
          <w:tcPr>
            <w:tcW w:w="2070" w:type="dxa"/>
          </w:tcPr>
          <w:p w14:paraId="7A481C1B"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Functional recovery</w:t>
            </w:r>
          </w:p>
        </w:tc>
        <w:tc>
          <w:tcPr>
            <w:tcW w:w="3461" w:type="dxa"/>
          </w:tcPr>
          <w:p w14:paraId="3B6B38B0"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Recognized as a major gap because visible reconstruction does not guarantee actual operation.</w:t>
            </w:r>
          </w:p>
        </w:tc>
        <w:tc>
          <w:tcPr>
            <w:tcW w:w="3489" w:type="dxa"/>
          </w:tcPr>
          <w:p w14:paraId="1B6A7B9A"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 xml:space="preserve">NTL is highly relevant as </w:t>
            </w:r>
            <w:r w:rsidRPr="00D87CEC">
              <w:rPr>
                <w:rFonts w:ascii="Arial" w:hAnsi="Arial" w:cs="Arial"/>
                <w:b/>
                <w:bCs/>
                <w:color w:val="000000" w:themeColor="text1"/>
                <w:sz w:val="16"/>
                <w:szCs w:val="16"/>
              </w:rPr>
              <w:t>a partial functional proxy for electricity-dependent systems.</w:t>
            </w:r>
          </w:p>
        </w:tc>
      </w:tr>
      <w:tr w:rsidR="00C97C46" w:rsidRPr="00D87CEC" w14:paraId="6817B1ED" w14:textId="77777777" w:rsidTr="00403F2A">
        <w:trPr>
          <w:cantSplit/>
          <w:jc w:val="center"/>
        </w:trPr>
        <w:tc>
          <w:tcPr>
            <w:tcW w:w="2070" w:type="dxa"/>
          </w:tcPr>
          <w:p w14:paraId="2F2F7D7C"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Explanation of recovery drivers</w:t>
            </w:r>
          </w:p>
        </w:tc>
        <w:tc>
          <w:tcPr>
            <w:tcW w:w="3461" w:type="dxa"/>
          </w:tcPr>
          <w:p w14:paraId="4BEDD078"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Remote sensing can monitor change, but Chapter 1 argues that it cannot explain why recovery patterns occur; hence the thesis later uses ABM and survey information.</w:t>
            </w:r>
          </w:p>
        </w:tc>
        <w:tc>
          <w:tcPr>
            <w:tcW w:w="3489" w:type="dxa"/>
          </w:tcPr>
          <w:p w14:paraId="7D635DF0" w14:textId="77777777" w:rsidR="00C97C46" w:rsidRPr="00D87CEC" w:rsidRDefault="00C97C46" w:rsidP="005A5EBA">
            <w:pPr>
              <w:rPr>
                <w:rFonts w:ascii="Arial" w:hAnsi="Arial" w:cs="Arial"/>
                <w:color w:val="000000" w:themeColor="text1"/>
                <w:sz w:val="16"/>
                <w:szCs w:val="16"/>
              </w:rPr>
            </w:pPr>
            <w:r w:rsidRPr="00D87CEC">
              <w:rPr>
                <w:rFonts w:ascii="Arial" w:hAnsi="Arial" w:cs="Arial"/>
                <w:color w:val="000000" w:themeColor="text1"/>
                <w:sz w:val="16"/>
                <w:szCs w:val="16"/>
              </w:rPr>
              <w:t xml:space="preserve">RQ2 should avoid causal claims from NTL alone; </w:t>
            </w:r>
            <w:r w:rsidRPr="00D87CEC">
              <w:rPr>
                <w:rFonts w:ascii="Arial" w:hAnsi="Arial" w:cs="Arial"/>
                <w:b/>
                <w:bCs/>
                <w:color w:val="000000" w:themeColor="text1"/>
                <w:sz w:val="16"/>
                <w:szCs w:val="16"/>
              </w:rPr>
              <w:t>use hazard exposure, GHSL, and administrative context as interpretive layers, not proof of causation.</w:t>
            </w:r>
          </w:p>
        </w:tc>
      </w:tr>
    </w:tbl>
    <w:p w14:paraId="7011C6F5" w14:textId="77777777" w:rsidR="00C97C46" w:rsidRPr="00D87CEC" w:rsidRDefault="00C97C46" w:rsidP="00C97C46">
      <w:pPr>
        <w:rPr>
          <w:rFonts w:ascii="Arial" w:hAnsi="Arial" w:cs="Arial"/>
          <w:color w:val="000000" w:themeColor="text1"/>
          <w:sz w:val="20"/>
          <w:szCs w:val="20"/>
        </w:rPr>
      </w:pPr>
    </w:p>
    <w:p w14:paraId="750A9A7D" w14:textId="77777777" w:rsidR="00C97C46" w:rsidRPr="00D87CEC" w:rsidRDefault="00C97C46" w:rsidP="00C97C46">
      <w:pPr>
        <w:pStyle w:val="Heading2"/>
        <w:rPr>
          <w:rFonts w:ascii="Arial" w:hAnsi="Arial" w:cs="Arial"/>
          <w:b/>
          <w:bCs/>
          <w:color w:val="000000" w:themeColor="text1"/>
          <w:sz w:val="24"/>
          <w:szCs w:val="24"/>
        </w:rPr>
      </w:pPr>
      <w:bookmarkStart w:id="4" w:name="_Toc234318903"/>
      <w:r w:rsidRPr="00D87CEC">
        <w:rPr>
          <w:rFonts w:ascii="Arial" w:hAnsi="Arial" w:cs="Arial"/>
          <w:b/>
          <w:bCs/>
          <w:color w:val="000000" w:themeColor="text1"/>
          <w:sz w:val="24"/>
          <w:szCs w:val="24"/>
        </w:rPr>
        <w:t>1.5 Nighttime lights in Chapter 1</w:t>
      </w:r>
      <w:bookmarkEnd w:id="4"/>
    </w:p>
    <w:p w14:paraId="32D5A66C" w14:textId="77777777" w:rsidR="00C97C46" w:rsidRPr="00D87CEC" w:rsidRDefault="00C97C46" w:rsidP="00C97C46">
      <w:pPr>
        <w:rPr>
          <w:rFonts w:ascii="Arial" w:hAnsi="Arial" w:cs="Arial"/>
          <w:color w:val="000000" w:themeColor="text1"/>
          <w:sz w:val="20"/>
          <w:szCs w:val="20"/>
        </w:rPr>
      </w:pPr>
      <w:r w:rsidRPr="00D87CEC">
        <w:rPr>
          <w:rFonts w:ascii="Arial" w:hAnsi="Arial" w:cs="Arial"/>
          <w:color w:val="000000" w:themeColor="text1"/>
          <w:sz w:val="20"/>
          <w:szCs w:val="20"/>
        </w:rPr>
        <w:t xml:space="preserve">Chapter 1 explicitly identifies nighttime lights as a remote sensing proxy for damage and recovery analysis. The thesis notes that </w:t>
      </w:r>
      <w:r w:rsidRPr="00D87CEC">
        <w:rPr>
          <w:rFonts w:ascii="Arial" w:hAnsi="Arial" w:cs="Arial"/>
          <w:b/>
          <w:bCs/>
          <w:color w:val="000000" w:themeColor="text1"/>
          <w:sz w:val="20"/>
          <w:szCs w:val="20"/>
        </w:rPr>
        <w:t>nighttime light intensity</w:t>
      </w:r>
      <w:r w:rsidRPr="00D87CEC">
        <w:rPr>
          <w:rFonts w:ascii="Arial" w:hAnsi="Arial" w:cs="Arial"/>
          <w:color w:val="000000" w:themeColor="text1"/>
          <w:sz w:val="20"/>
          <w:szCs w:val="20"/>
        </w:rPr>
        <w:t xml:space="preserve"> has been associated with </w:t>
      </w:r>
      <w:r w:rsidRPr="00D87CEC">
        <w:rPr>
          <w:rFonts w:ascii="Arial" w:hAnsi="Arial" w:cs="Arial"/>
          <w:b/>
          <w:bCs/>
          <w:color w:val="000000" w:themeColor="text1"/>
          <w:sz w:val="20"/>
          <w:szCs w:val="20"/>
        </w:rPr>
        <w:t xml:space="preserve">economic activity, per capita expenditure, energy spending, and food spending, and that disasters can </w:t>
      </w:r>
      <w:r w:rsidRPr="00D87CEC">
        <w:rPr>
          <w:rFonts w:ascii="Arial" w:hAnsi="Arial" w:cs="Arial"/>
          <w:b/>
          <w:bCs/>
          <w:color w:val="000000" w:themeColor="text1"/>
          <w:sz w:val="20"/>
          <w:szCs w:val="20"/>
        </w:rPr>
        <w:lastRenderedPageBreak/>
        <w:t>produce short-run luminosity drops in developing and emerging economies</w:t>
      </w:r>
      <w:r w:rsidRPr="00D87CEC">
        <w:rPr>
          <w:rFonts w:ascii="Arial" w:hAnsi="Arial" w:cs="Arial"/>
          <w:color w:val="000000" w:themeColor="text1"/>
          <w:sz w:val="20"/>
          <w:szCs w:val="20"/>
        </w:rPr>
        <w:t xml:space="preserve"> (Chen and Nordhaus, 2011; Sutton et al., 2007; Gillespie et al., 2014; Klomp, 2016).</w:t>
      </w:r>
    </w:p>
    <w:p w14:paraId="495E3E32" w14:textId="77777777" w:rsidR="00C97C46" w:rsidRPr="00D87CEC" w:rsidRDefault="00C97C46" w:rsidP="00C97C46">
      <w:pPr>
        <w:rPr>
          <w:rFonts w:ascii="Arial" w:hAnsi="Arial" w:cs="Arial"/>
          <w:color w:val="000000" w:themeColor="text1"/>
          <w:sz w:val="20"/>
          <w:szCs w:val="20"/>
        </w:rPr>
      </w:pPr>
      <w:r w:rsidRPr="00D87CEC">
        <w:rPr>
          <w:rFonts w:ascii="Arial" w:hAnsi="Arial" w:cs="Arial"/>
          <w:color w:val="000000" w:themeColor="text1"/>
          <w:sz w:val="20"/>
          <w:szCs w:val="20"/>
        </w:rPr>
        <w:t xml:space="preserve">The stated </w:t>
      </w:r>
      <w:r w:rsidRPr="00D87CEC">
        <w:rPr>
          <w:rFonts w:ascii="Arial" w:hAnsi="Arial" w:cs="Arial"/>
          <w:b/>
          <w:bCs/>
          <w:color w:val="000000" w:themeColor="text1"/>
          <w:sz w:val="20"/>
          <w:szCs w:val="20"/>
        </w:rPr>
        <w:t>limitation is spatial resolution</w:t>
      </w:r>
      <w:r w:rsidRPr="00D87CEC">
        <w:rPr>
          <w:rFonts w:ascii="Arial" w:hAnsi="Arial" w:cs="Arial"/>
          <w:color w:val="000000" w:themeColor="text1"/>
          <w:sz w:val="20"/>
          <w:szCs w:val="20"/>
        </w:rPr>
        <w:t xml:space="preserve">. This reflects the older DMSP/OLS and broad-scale luminosity literature more than a reliability-qualified daily VIIRS workflow. For RQ2, the more important limitation is not only spatial resolution but observability: cloud, lunar, atmospheric, quality flag, and gap-filling artefacts can create false continuity or false change. This is where RQ1 directly extends the thesis: before interpreting recovery, the time series must be </w:t>
      </w:r>
      <w:proofErr w:type="gramStart"/>
      <w:r w:rsidRPr="00D87CEC">
        <w:rPr>
          <w:rFonts w:ascii="Arial" w:hAnsi="Arial" w:cs="Arial"/>
          <w:color w:val="000000" w:themeColor="text1"/>
          <w:sz w:val="20"/>
          <w:szCs w:val="20"/>
        </w:rPr>
        <w:t>reliability-qualified</w:t>
      </w:r>
      <w:proofErr w:type="gramEnd"/>
      <w:r w:rsidRPr="00D87CEC">
        <w:rPr>
          <w:rFonts w:ascii="Arial" w:hAnsi="Arial" w:cs="Arial"/>
          <w:color w:val="000000" w:themeColor="text1"/>
          <w:sz w:val="20"/>
          <w:szCs w:val="20"/>
        </w:rPr>
        <w:t>.</w:t>
      </w:r>
    </w:p>
    <w:p w14:paraId="0557DFD3" w14:textId="1732477E" w:rsidR="002719A6" w:rsidRPr="00D87CEC" w:rsidRDefault="002719A6" w:rsidP="00C97C46">
      <w:pPr>
        <w:rPr>
          <w:rFonts w:ascii="Arial" w:hAnsi="Arial" w:cs="Arial"/>
          <w:color w:val="000000" w:themeColor="text1"/>
          <w:sz w:val="20"/>
          <w:szCs w:val="20"/>
        </w:rPr>
      </w:pPr>
      <w:r w:rsidRPr="00D87CEC">
        <w:rPr>
          <w:rFonts w:ascii="Arial" w:hAnsi="Arial" w:cs="Arial"/>
          <w:b/>
          <w:color w:val="000000" w:themeColor="text1"/>
          <w:sz w:val="20"/>
          <w:szCs w:val="20"/>
        </w:rPr>
        <w:t xml:space="preserve">Key takeaway: </w:t>
      </w:r>
      <w:r w:rsidRPr="00D87CEC">
        <w:rPr>
          <w:rFonts w:ascii="Arial" w:hAnsi="Arial" w:cs="Arial"/>
          <w:color w:val="000000" w:themeColor="text1"/>
          <w:sz w:val="20"/>
          <w:szCs w:val="20"/>
        </w:rPr>
        <w:t>The thesis legitimizes nighttime lights as a recovery proxy, but RQ2 must narrow the claim: NTL represents observed nighttime radiance under valid observation conditions, not recovery itself.</w:t>
      </w:r>
    </w:p>
    <w:p w14:paraId="786A29B2" w14:textId="77777777" w:rsidR="00A37B8A" w:rsidRPr="00D87CEC" w:rsidRDefault="00A37B8A" w:rsidP="00A37B8A">
      <w:pPr>
        <w:pStyle w:val="Heading1"/>
        <w:rPr>
          <w:rFonts w:ascii="Arial" w:hAnsi="Arial" w:cs="Arial"/>
          <w:b/>
          <w:bCs/>
          <w:color w:val="000000" w:themeColor="text1"/>
          <w:sz w:val="24"/>
          <w:szCs w:val="24"/>
        </w:rPr>
      </w:pPr>
      <w:bookmarkStart w:id="5" w:name="_Toc234318904"/>
      <w:r w:rsidRPr="00D87CEC">
        <w:rPr>
          <w:rFonts w:ascii="Arial" w:hAnsi="Arial" w:cs="Arial"/>
          <w:b/>
          <w:bCs/>
          <w:color w:val="000000" w:themeColor="text1"/>
          <w:sz w:val="24"/>
          <w:szCs w:val="24"/>
        </w:rPr>
        <w:t>2. Chapter 2 review: remote sensing-based proxies for urban DRM and resilience</w:t>
      </w:r>
      <w:bookmarkEnd w:id="5"/>
    </w:p>
    <w:p w14:paraId="1BCE8787"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Chapter 2 is a systematic review of remote sensing-based proxies for urban DRM and resilience. It is critical for RQ2 because it provides a formal proxy vocabulary and a taxonomy of what can be inferred from observable features. The chapter reviews proxies across four DRM elements: vulnerability, resilience, damage, and recovery; and four environments: built-up, economic, social, and natural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et al., 2018).</w:t>
      </w:r>
    </w:p>
    <w:p w14:paraId="5D32153E" w14:textId="77777777" w:rsidR="00A37B8A" w:rsidRPr="00D87CEC" w:rsidRDefault="00A37B8A" w:rsidP="00A37B8A">
      <w:pPr>
        <w:pStyle w:val="Heading2"/>
        <w:rPr>
          <w:rFonts w:ascii="Arial" w:hAnsi="Arial" w:cs="Arial"/>
          <w:b/>
          <w:bCs/>
          <w:color w:val="000000" w:themeColor="text1"/>
          <w:sz w:val="20"/>
          <w:szCs w:val="20"/>
        </w:rPr>
      </w:pPr>
      <w:bookmarkStart w:id="6" w:name="_Toc234318905"/>
      <w:r w:rsidRPr="00D87CEC">
        <w:rPr>
          <w:rFonts w:ascii="Arial" w:hAnsi="Arial" w:cs="Arial"/>
          <w:b/>
          <w:bCs/>
          <w:color w:val="000000" w:themeColor="text1"/>
          <w:sz w:val="20"/>
          <w:szCs w:val="20"/>
        </w:rPr>
        <w:t>2.1 Definition of a proxy in remote sensing</w:t>
      </w:r>
      <w:bookmarkEnd w:id="6"/>
    </w:p>
    <w:p w14:paraId="6565C523" w14:textId="77777777" w:rsidR="00A37B8A" w:rsidRPr="00D87CEC" w:rsidRDefault="00A37B8A" w:rsidP="00656B03">
      <w:pPr>
        <w:rPr>
          <w:rFonts w:ascii="Arial" w:hAnsi="Arial" w:cs="Arial"/>
          <w:color w:val="000000" w:themeColor="text1"/>
          <w:sz w:val="20"/>
          <w:szCs w:val="20"/>
        </w:rPr>
      </w:pPr>
      <w:r w:rsidRPr="00D87CEC">
        <w:rPr>
          <w:rFonts w:ascii="Arial" w:hAnsi="Arial" w:cs="Arial"/>
          <w:color w:val="000000" w:themeColor="text1"/>
          <w:sz w:val="20"/>
          <w:szCs w:val="20"/>
        </w:rPr>
        <w:t>The thesis defines a remote sensing-based proxy as the use of observable physical features or directly measurable variables to understand or extract what exists on the ground but is not directly observable or measurable from remote sensing data. Two broad proxy types are emphasized:</w:t>
      </w:r>
    </w:p>
    <w:p w14:paraId="0C48B2D9" w14:textId="77777777" w:rsidR="00A37B8A" w:rsidRPr="00D87CEC" w:rsidRDefault="00A37B8A" w:rsidP="00656B03">
      <w:pPr>
        <w:pStyle w:val="ListBullet"/>
        <w:tabs>
          <w:tab w:val="num" w:pos="360"/>
        </w:tabs>
        <w:ind w:left="360" w:hanging="360"/>
        <w:rPr>
          <w:rFonts w:cs="Arial"/>
          <w:color w:val="000000" w:themeColor="text1"/>
          <w:szCs w:val="20"/>
        </w:rPr>
      </w:pPr>
      <w:r w:rsidRPr="00CB6EA6">
        <w:rPr>
          <w:rFonts w:cs="Arial"/>
          <w:b/>
          <w:bCs/>
          <w:color w:val="000000" w:themeColor="text1"/>
          <w:szCs w:val="20"/>
        </w:rPr>
        <w:t>Proxies for not-directly observable physical parameters</w:t>
      </w:r>
      <w:r w:rsidRPr="00D87CEC">
        <w:rPr>
          <w:rFonts w:cs="Arial"/>
          <w:color w:val="000000" w:themeColor="text1"/>
          <w:szCs w:val="20"/>
        </w:rPr>
        <w:t>, such as using shadow to estimate building height or collapse.</w:t>
      </w:r>
    </w:p>
    <w:p w14:paraId="5C01EE38" w14:textId="77777777" w:rsidR="00A37B8A" w:rsidRPr="00D87CEC" w:rsidRDefault="00A37B8A" w:rsidP="00656B03">
      <w:pPr>
        <w:pStyle w:val="ListBullet"/>
        <w:tabs>
          <w:tab w:val="num" w:pos="360"/>
        </w:tabs>
        <w:ind w:left="360" w:hanging="360"/>
        <w:rPr>
          <w:rFonts w:cs="Arial"/>
          <w:color w:val="000000" w:themeColor="text1"/>
          <w:szCs w:val="20"/>
        </w:rPr>
      </w:pPr>
      <w:r w:rsidRPr="002F4A01">
        <w:rPr>
          <w:rFonts w:cs="Arial"/>
          <w:b/>
          <w:bCs/>
          <w:color w:val="000000" w:themeColor="text1"/>
          <w:szCs w:val="20"/>
        </w:rPr>
        <w:t>Proxies for processes and functions</w:t>
      </w:r>
      <w:r w:rsidRPr="00D87CEC">
        <w:rPr>
          <w:rFonts w:cs="Arial"/>
          <w:color w:val="000000" w:themeColor="text1"/>
          <w:szCs w:val="20"/>
        </w:rPr>
        <w:t>, such as using building morphology, land use, vehicles, boats, or nighttime lights to infer activity, accessibility, or recovery.</w:t>
      </w:r>
    </w:p>
    <w:p w14:paraId="511CCDCF" w14:textId="77777777" w:rsidR="00A37B8A" w:rsidRPr="00D87CEC" w:rsidRDefault="00A37B8A" w:rsidP="00656B03">
      <w:pPr>
        <w:rPr>
          <w:rFonts w:ascii="Arial" w:hAnsi="Arial" w:cs="Arial"/>
          <w:color w:val="000000" w:themeColor="text1"/>
          <w:sz w:val="20"/>
          <w:szCs w:val="20"/>
        </w:rPr>
      </w:pPr>
      <w:r w:rsidRPr="00D87CEC">
        <w:rPr>
          <w:rFonts w:ascii="Arial" w:hAnsi="Arial" w:cs="Arial"/>
          <w:color w:val="000000" w:themeColor="text1"/>
          <w:sz w:val="20"/>
          <w:szCs w:val="20"/>
        </w:rPr>
        <w:t xml:space="preserve">This is directly aligned with RQ2. </w:t>
      </w:r>
      <w:r w:rsidRPr="001F180C">
        <w:rPr>
          <w:rFonts w:ascii="Arial" w:hAnsi="Arial" w:cs="Arial"/>
          <w:b/>
          <w:bCs/>
          <w:color w:val="000000" w:themeColor="text1"/>
          <w:sz w:val="20"/>
          <w:szCs w:val="20"/>
        </w:rPr>
        <w:t>DNB-BRDF radiance is a directly measured nighttime light signal</w:t>
      </w:r>
      <w:r w:rsidRPr="00D87CEC">
        <w:rPr>
          <w:rFonts w:ascii="Arial" w:hAnsi="Arial" w:cs="Arial"/>
          <w:color w:val="000000" w:themeColor="text1"/>
          <w:sz w:val="20"/>
          <w:szCs w:val="20"/>
        </w:rPr>
        <w:t xml:space="preserve">, but </w:t>
      </w:r>
      <w:r w:rsidRPr="001F180C">
        <w:rPr>
          <w:rFonts w:ascii="Arial" w:hAnsi="Arial" w:cs="Arial"/>
          <w:b/>
          <w:bCs/>
          <w:color w:val="000000" w:themeColor="text1"/>
          <w:sz w:val="20"/>
          <w:szCs w:val="20"/>
        </w:rPr>
        <w:t>disaster impact, power restoration, livelihood activity, and recovery are indirect interpretations</w:t>
      </w:r>
      <w:r w:rsidRPr="00D87CEC">
        <w:rPr>
          <w:rFonts w:ascii="Arial" w:hAnsi="Arial" w:cs="Arial"/>
          <w:color w:val="000000" w:themeColor="text1"/>
          <w:sz w:val="20"/>
          <w:szCs w:val="20"/>
        </w:rPr>
        <w:t xml:space="preserve">. </w:t>
      </w:r>
      <w:r w:rsidRPr="00912979">
        <w:rPr>
          <w:rFonts w:ascii="Arial" w:hAnsi="Arial" w:cs="Arial"/>
          <w:b/>
          <w:bCs/>
          <w:color w:val="EE0000"/>
          <w:sz w:val="20"/>
          <w:szCs w:val="20"/>
        </w:rPr>
        <w:t>The reliability layer determines whether the signal is observable; the proxy layer determines whether it is interpretable.</w:t>
      </w:r>
    </w:p>
    <w:p w14:paraId="59105484" w14:textId="77777777" w:rsidR="00A37B8A" w:rsidRPr="006C66C8" w:rsidRDefault="00A37B8A" w:rsidP="00A37B8A">
      <w:pPr>
        <w:pStyle w:val="Heading2"/>
        <w:rPr>
          <w:rFonts w:ascii="Arial" w:hAnsi="Arial" w:cs="Arial"/>
          <w:b/>
          <w:bCs/>
          <w:color w:val="000000" w:themeColor="text1"/>
          <w:sz w:val="20"/>
          <w:szCs w:val="20"/>
        </w:rPr>
      </w:pPr>
      <w:bookmarkStart w:id="7" w:name="_Toc234318906"/>
      <w:r w:rsidRPr="006C66C8">
        <w:rPr>
          <w:rFonts w:ascii="Arial" w:hAnsi="Arial" w:cs="Arial"/>
          <w:b/>
          <w:bCs/>
          <w:color w:val="000000" w:themeColor="text1"/>
          <w:sz w:val="20"/>
          <w:szCs w:val="20"/>
        </w:rPr>
        <w:t>2.2 Proxy taxonomy: four environments</w:t>
      </w:r>
      <w:bookmarkEnd w:id="7"/>
    </w:p>
    <w:tbl>
      <w:tblPr>
        <w:tblStyle w:val="TableGrid"/>
        <w:tblW w:w="0" w:type="auto"/>
        <w:jc w:val="center"/>
        <w:tblLook w:val="04A0" w:firstRow="1" w:lastRow="0" w:firstColumn="1" w:lastColumn="0" w:noHBand="0" w:noVBand="1"/>
      </w:tblPr>
      <w:tblGrid>
        <w:gridCol w:w="1570"/>
        <w:gridCol w:w="2652"/>
        <w:gridCol w:w="2249"/>
        <w:gridCol w:w="2545"/>
      </w:tblGrid>
      <w:tr w:rsidR="00A37B8A" w:rsidRPr="006C66C8" w14:paraId="682D6587" w14:textId="77777777" w:rsidTr="005A5EBA">
        <w:trPr>
          <w:cantSplit/>
          <w:tblHeader/>
          <w:jc w:val="center"/>
        </w:trPr>
        <w:tc>
          <w:tcPr>
            <w:tcW w:w="1800" w:type="dxa"/>
            <w:shd w:val="clear" w:color="auto" w:fill="D9EAF7"/>
          </w:tcPr>
          <w:p w14:paraId="62872F62" w14:textId="77777777" w:rsidR="00A37B8A" w:rsidRPr="006C66C8" w:rsidRDefault="00A37B8A" w:rsidP="005A5EBA">
            <w:pPr>
              <w:rPr>
                <w:rFonts w:ascii="Arial" w:hAnsi="Arial" w:cs="Arial"/>
                <w:color w:val="000000" w:themeColor="text1"/>
                <w:sz w:val="16"/>
                <w:szCs w:val="16"/>
              </w:rPr>
            </w:pPr>
            <w:r w:rsidRPr="006C66C8">
              <w:rPr>
                <w:rFonts w:ascii="Arial" w:hAnsi="Arial" w:cs="Arial"/>
                <w:b/>
                <w:color w:val="000000" w:themeColor="text1"/>
                <w:sz w:val="16"/>
                <w:szCs w:val="16"/>
              </w:rPr>
              <w:t>Environment</w:t>
            </w:r>
          </w:p>
        </w:tc>
        <w:tc>
          <w:tcPr>
            <w:tcW w:w="3312" w:type="dxa"/>
            <w:shd w:val="clear" w:color="auto" w:fill="D9EAF7"/>
          </w:tcPr>
          <w:p w14:paraId="77319DDC" w14:textId="77777777" w:rsidR="00A37B8A" w:rsidRPr="006C66C8" w:rsidRDefault="00A37B8A" w:rsidP="005A5EBA">
            <w:pPr>
              <w:rPr>
                <w:rFonts w:ascii="Arial" w:hAnsi="Arial" w:cs="Arial"/>
                <w:color w:val="000000" w:themeColor="text1"/>
                <w:sz w:val="16"/>
                <w:szCs w:val="16"/>
              </w:rPr>
            </w:pPr>
            <w:r w:rsidRPr="006C66C8">
              <w:rPr>
                <w:rFonts w:ascii="Arial" w:hAnsi="Arial" w:cs="Arial"/>
                <w:b/>
                <w:color w:val="000000" w:themeColor="text1"/>
                <w:sz w:val="16"/>
                <w:szCs w:val="16"/>
              </w:rPr>
              <w:t>Example proxies</w:t>
            </w:r>
          </w:p>
        </w:tc>
        <w:tc>
          <w:tcPr>
            <w:tcW w:w="2880" w:type="dxa"/>
            <w:shd w:val="clear" w:color="auto" w:fill="D9EAF7"/>
          </w:tcPr>
          <w:p w14:paraId="45820A44" w14:textId="77777777" w:rsidR="00A37B8A" w:rsidRPr="006C66C8" w:rsidRDefault="00A37B8A" w:rsidP="005A5EBA">
            <w:pPr>
              <w:rPr>
                <w:rFonts w:ascii="Arial" w:hAnsi="Arial" w:cs="Arial"/>
                <w:color w:val="000000" w:themeColor="text1"/>
                <w:sz w:val="16"/>
                <w:szCs w:val="16"/>
              </w:rPr>
            </w:pPr>
            <w:r w:rsidRPr="006C66C8">
              <w:rPr>
                <w:rFonts w:ascii="Arial" w:hAnsi="Arial" w:cs="Arial"/>
                <w:b/>
                <w:color w:val="000000" w:themeColor="text1"/>
                <w:sz w:val="16"/>
                <w:szCs w:val="16"/>
              </w:rPr>
              <w:t>What it can support</w:t>
            </w:r>
          </w:p>
        </w:tc>
        <w:tc>
          <w:tcPr>
            <w:tcW w:w="3024" w:type="dxa"/>
            <w:shd w:val="clear" w:color="auto" w:fill="D9EAF7"/>
          </w:tcPr>
          <w:p w14:paraId="28D0AA99" w14:textId="77777777" w:rsidR="00A37B8A" w:rsidRPr="006C66C8" w:rsidRDefault="00A37B8A" w:rsidP="005A5EBA">
            <w:pPr>
              <w:rPr>
                <w:rFonts w:ascii="Arial" w:hAnsi="Arial" w:cs="Arial"/>
                <w:color w:val="000000" w:themeColor="text1"/>
                <w:sz w:val="16"/>
                <w:szCs w:val="16"/>
              </w:rPr>
            </w:pPr>
            <w:r w:rsidRPr="006C66C8">
              <w:rPr>
                <w:rFonts w:ascii="Arial" w:hAnsi="Arial" w:cs="Arial"/>
                <w:b/>
                <w:color w:val="000000" w:themeColor="text1"/>
                <w:sz w:val="16"/>
                <w:szCs w:val="16"/>
              </w:rPr>
              <w:t>RQ2 translation</w:t>
            </w:r>
          </w:p>
        </w:tc>
      </w:tr>
      <w:tr w:rsidR="00A37B8A" w:rsidRPr="006C66C8" w14:paraId="1C804DCE" w14:textId="77777777" w:rsidTr="005A5EBA">
        <w:trPr>
          <w:cantSplit/>
          <w:jc w:val="center"/>
        </w:trPr>
        <w:tc>
          <w:tcPr>
            <w:tcW w:w="1800" w:type="dxa"/>
          </w:tcPr>
          <w:p w14:paraId="309CE3DB"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Built-up</w:t>
            </w:r>
          </w:p>
        </w:tc>
        <w:tc>
          <w:tcPr>
            <w:tcW w:w="3312" w:type="dxa"/>
          </w:tcPr>
          <w:p w14:paraId="0DDE0D0C"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Buildings, roads, bridges, impervious surface, debris, rubble, reconstruction, temporary accommodation.</w:t>
            </w:r>
          </w:p>
        </w:tc>
        <w:tc>
          <w:tcPr>
            <w:tcW w:w="2880" w:type="dxa"/>
          </w:tcPr>
          <w:p w14:paraId="1AA73996"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Best for structural and accessibility recovery, but often physical rather than functional.</w:t>
            </w:r>
          </w:p>
        </w:tc>
        <w:tc>
          <w:tcPr>
            <w:tcW w:w="3024" w:type="dxa"/>
          </w:tcPr>
          <w:p w14:paraId="1C58FA20"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GHSL can stratify settlement morphology; NTL cannot detect individual structural reconstruction.</w:t>
            </w:r>
          </w:p>
        </w:tc>
      </w:tr>
      <w:tr w:rsidR="00A37B8A" w:rsidRPr="006C66C8" w14:paraId="4587C756" w14:textId="77777777" w:rsidTr="005A5EBA">
        <w:trPr>
          <w:cantSplit/>
          <w:jc w:val="center"/>
        </w:trPr>
        <w:tc>
          <w:tcPr>
            <w:tcW w:w="1800" w:type="dxa"/>
          </w:tcPr>
          <w:p w14:paraId="0135A9D0"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Economic</w:t>
            </w:r>
          </w:p>
        </w:tc>
        <w:tc>
          <w:tcPr>
            <w:tcW w:w="3312" w:type="dxa"/>
          </w:tcPr>
          <w:p w14:paraId="02C0391A"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Land use, nighttime light intensity, boats, piers, arable land, crops, industrial buildings, roof materials, transport logistics.</w:t>
            </w:r>
          </w:p>
        </w:tc>
        <w:tc>
          <w:tcPr>
            <w:tcW w:w="2880" w:type="dxa"/>
          </w:tcPr>
          <w:p w14:paraId="235B5831"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 xml:space="preserve">Best for activity location and sector proxies, but often indirect and </w:t>
            </w:r>
            <w:proofErr w:type="gramStart"/>
            <w:r w:rsidRPr="006C66C8">
              <w:rPr>
                <w:rFonts w:ascii="Arial" w:hAnsi="Arial" w:cs="Arial"/>
                <w:color w:val="000000" w:themeColor="text1"/>
                <w:sz w:val="16"/>
                <w:szCs w:val="16"/>
              </w:rPr>
              <w:t>context-specific</w:t>
            </w:r>
            <w:proofErr w:type="gramEnd"/>
            <w:r w:rsidRPr="006C66C8">
              <w:rPr>
                <w:rFonts w:ascii="Arial" w:hAnsi="Arial" w:cs="Arial"/>
                <w:color w:val="000000" w:themeColor="text1"/>
                <w:sz w:val="16"/>
                <w:szCs w:val="16"/>
              </w:rPr>
              <w:t>.</w:t>
            </w:r>
          </w:p>
        </w:tc>
        <w:tc>
          <w:tcPr>
            <w:tcW w:w="3024" w:type="dxa"/>
          </w:tcPr>
          <w:p w14:paraId="02530231"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NTL fits here as an electricity/economic-activity proxy; GHSL helps separate dense urban cores from rural settlements.</w:t>
            </w:r>
          </w:p>
        </w:tc>
      </w:tr>
      <w:tr w:rsidR="00A37B8A" w:rsidRPr="006C66C8" w14:paraId="0809F1D0" w14:textId="77777777" w:rsidTr="005A5EBA">
        <w:trPr>
          <w:cantSplit/>
          <w:jc w:val="center"/>
        </w:trPr>
        <w:tc>
          <w:tcPr>
            <w:tcW w:w="1800" w:type="dxa"/>
          </w:tcPr>
          <w:p w14:paraId="04F712EA"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Social</w:t>
            </w:r>
          </w:p>
        </w:tc>
        <w:tc>
          <w:tcPr>
            <w:tcW w:w="3312" w:type="dxa"/>
          </w:tcPr>
          <w:p w14:paraId="159D5395"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Facilities, schools, health care, religious buildings, temporary accommodation, informal settlements, built-up/vegetated proportion, road conditions.</w:t>
            </w:r>
          </w:p>
        </w:tc>
        <w:tc>
          <w:tcPr>
            <w:tcW w:w="2880" w:type="dxa"/>
          </w:tcPr>
          <w:p w14:paraId="4F9C33ED"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Best for spatial access and settlement status, but weak for lived welfare, social cohesion, or household recovery.</w:t>
            </w:r>
          </w:p>
        </w:tc>
        <w:tc>
          <w:tcPr>
            <w:tcW w:w="3024" w:type="dxa"/>
          </w:tcPr>
          <w:p w14:paraId="3680D8CD"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 xml:space="preserve">GHSL can support settlement class stratification. </w:t>
            </w:r>
            <w:r w:rsidRPr="00177727">
              <w:rPr>
                <w:rFonts w:ascii="Arial" w:hAnsi="Arial" w:cs="Arial"/>
                <w:b/>
                <w:bCs/>
                <w:color w:val="000000" w:themeColor="text1"/>
                <w:sz w:val="16"/>
                <w:szCs w:val="16"/>
              </w:rPr>
              <w:t>NTL cannot infer welfare or equity without external data.</w:t>
            </w:r>
          </w:p>
        </w:tc>
      </w:tr>
      <w:tr w:rsidR="00A37B8A" w:rsidRPr="006C66C8" w14:paraId="07B296E1" w14:textId="77777777" w:rsidTr="005A5EBA">
        <w:trPr>
          <w:cantSplit/>
          <w:jc w:val="center"/>
        </w:trPr>
        <w:tc>
          <w:tcPr>
            <w:tcW w:w="1800" w:type="dxa"/>
          </w:tcPr>
          <w:p w14:paraId="008E7B07"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Natural</w:t>
            </w:r>
          </w:p>
        </w:tc>
        <w:tc>
          <w:tcPr>
            <w:tcW w:w="3312" w:type="dxa"/>
          </w:tcPr>
          <w:p w14:paraId="75127370"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Vegetation cover, land cover change, green space, debris/floodwater removal, GPP, evapotranspiration, permeability.</w:t>
            </w:r>
          </w:p>
        </w:tc>
        <w:tc>
          <w:tcPr>
            <w:tcW w:w="2880" w:type="dxa"/>
          </w:tcPr>
          <w:p w14:paraId="5FE37CDC"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Best for environmental damage and ecosystem recovery.</w:t>
            </w:r>
          </w:p>
        </w:tc>
        <w:tc>
          <w:tcPr>
            <w:tcW w:w="3024" w:type="dxa"/>
          </w:tcPr>
          <w:p w14:paraId="3539DBD0" w14:textId="77777777" w:rsidR="00A37B8A" w:rsidRPr="006C66C8" w:rsidRDefault="00A37B8A" w:rsidP="005A5EBA">
            <w:pPr>
              <w:rPr>
                <w:rFonts w:ascii="Arial" w:hAnsi="Arial" w:cs="Arial"/>
                <w:color w:val="000000" w:themeColor="text1"/>
                <w:sz w:val="16"/>
                <w:szCs w:val="16"/>
              </w:rPr>
            </w:pPr>
            <w:r w:rsidRPr="006C66C8">
              <w:rPr>
                <w:rFonts w:ascii="Arial" w:hAnsi="Arial" w:cs="Arial"/>
                <w:color w:val="000000" w:themeColor="text1"/>
                <w:sz w:val="16"/>
                <w:szCs w:val="16"/>
              </w:rPr>
              <w:t xml:space="preserve">NTL is weak for vegetation/ecosystem recovery; </w:t>
            </w:r>
            <w:r w:rsidRPr="00E034D2">
              <w:rPr>
                <w:rFonts w:ascii="Arial" w:hAnsi="Arial" w:cs="Arial"/>
                <w:b/>
                <w:bCs/>
                <w:color w:val="000000" w:themeColor="text1"/>
                <w:sz w:val="16"/>
                <w:szCs w:val="16"/>
              </w:rPr>
              <w:t>gap between light recovery and natural recovery should be expected.</w:t>
            </w:r>
          </w:p>
        </w:tc>
      </w:tr>
    </w:tbl>
    <w:p w14:paraId="6952E0D2" w14:textId="77777777" w:rsidR="00A37B8A" w:rsidRPr="00D87CEC" w:rsidRDefault="00A37B8A" w:rsidP="00A37B8A">
      <w:pPr>
        <w:rPr>
          <w:rFonts w:ascii="Arial" w:hAnsi="Arial" w:cs="Arial"/>
          <w:color w:val="000000" w:themeColor="text1"/>
          <w:sz w:val="20"/>
          <w:szCs w:val="20"/>
        </w:rPr>
      </w:pPr>
    </w:p>
    <w:p w14:paraId="2B87C323" w14:textId="77777777" w:rsidR="00A37B8A" w:rsidRPr="00E034D2" w:rsidRDefault="00A37B8A" w:rsidP="00A37B8A">
      <w:pPr>
        <w:pStyle w:val="Heading2"/>
        <w:rPr>
          <w:rFonts w:ascii="Arial" w:hAnsi="Arial" w:cs="Arial"/>
          <w:b/>
          <w:bCs/>
          <w:color w:val="000000" w:themeColor="text1"/>
          <w:sz w:val="20"/>
          <w:szCs w:val="20"/>
        </w:rPr>
      </w:pPr>
      <w:bookmarkStart w:id="8" w:name="_Toc234318907"/>
      <w:r w:rsidRPr="00E034D2">
        <w:rPr>
          <w:rFonts w:ascii="Arial" w:hAnsi="Arial" w:cs="Arial"/>
          <w:b/>
          <w:bCs/>
          <w:color w:val="000000" w:themeColor="text1"/>
          <w:sz w:val="20"/>
          <w:szCs w:val="20"/>
        </w:rPr>
        <w:lastRenderedPageBreak/>
        <w:t>2.3 Built-up proxies and their relevance to RQ2</w:t>
      </w:r>
      <w:bookmarkEnd w:id="8"/>
    </w:p>
    <w:tbl>
      <w:tblPr>
        <w:tblStyle w:val="TableGrid"/>
        <w:tblW w:w="0" w:type="auto"/>
        <w:jc w:val="center"/>
        <w:tblLook w:val="04A0" w:firstRow="1" w:lastRow="0" w:firstColumn="1" w:lastColumn="0" w:noHBand="0" w:noVBand="1"/>
      </w:tblPr>
      <w:tblGrid>
        <w:gridCol w:w="2040"/>
        <w:gridCol w:w="2404"/>
        <w:gridCol w:w="2216"/>
        <w:gridCol w:w="2356"/>
      </w:tblGrid>
      <w:tr w:rsidR="00A37B8A" w:rsidRPr="00E034D2" w14:paraId="76E76D50" w14:textId="77777777" w:rsidTr="005A5EBA">
        <w:trPr>
          <w:cantSplit/>
          <w:tblHeader/>
          <w:jc w:val="center"/>
        </w:trPr>
        <w:tc>
          <w:tcPr>
            <w:tcW w:w="2160" w:type="dxa"/>
            <w:shd w:val="clear" w:color="auto" w:fill="D9EAF7"/>
          </w:tcPr>
          <w:p w14:paraId="1255F04E" w14:textId="77777777" w:rsidR="00A37B8A" w:rsidRPr="00E034D2" w:rsidRDefault="00A37B8A" w:rsidP="005A5EBA">
            <w:pPr>
              <w:rPr>
                <w:rFonts w:ascii="Arial" w:hAnsi="Arial" w:cs="Arial"/>
                <w:color w:val="000000" w:themeColor="text1"/>
                <w:sz w:val="16"/>
                <w:szCs w:val="16"/>
              </w:rPr>
            </w:pPr>
            <w:r w:rsidRPr="00E034D2">
              <w:rPr>
                <w:rFonts w:ascii="Arial" w:hAnsi="Arial" w:cs="Arial"/>
                <w:b/>
                <w:color w:val="000000" w:themeColor="text1"/>
                <w:sz w:val="16"/>
                <w:szCs w:val="16"/>
              </w:rPr>
              <w:t>Built-up proxy</w:t>
            </w:r>
          </w:p>
        </w:tc>
        <w:tc>
          <w:tcPr>
            <w:tcW w:w="2880" w:type="dxa"/>
            <w:shd w:val="clear" w:color="auto" w:fill="D9EAF7"/>
          </w:tcPr>
          <w:p w14:paraId="05F0AAF8" w14:textId="77777777" w:rsidR="00A37B8A" w:rsidRPr="00E034D2" w:rsidRDefault="00A37B8A" w:rsidP="005A5EBA">
            <w:pPr>
              <w:rPr>
                <w:rFonts w:ascii="Arial" w:hAnsi="Arial" w:cs="Arial"/>
                <w:color w:val="000000" w:themeColor="text1"/>
                <w:sz w:val="16"/>
                <w:szCs w:val="16"/>
              </w:rPr>
            </w:pPr>
            <w:r w:rsidRPr="00E034D2">
              <w:rPr>
                <w:rFonts w:ascii="Arial" w:hAnsi="Arial" w:cs="Arial"/>
                <w:b/>
                <w:color w:val="000000" w:themeColor="text1"/>
                <w:sz w:val="16"/>
                <w:szCs w:val="16"/>
              </w:rPr>
              <w:t>Essence</w:t>
            </w:r>
          </w:p>
        </w:tc>
        <w:tc>
          <w:tcPr>
            <w:tcW w:w="2808" w:type="dxa"/>
            <w:shd w:val="clear" w:color="auto" w:fill="D9EAF7"/>
          </w:tcPr>
          <w:p w14:paraId="7CDB9C45" w14:textId="77777777" w:rsidR="00A37B8A" w:rsidRPr="00E034D2" w:rsidRDefault="00A37B8A" w:rsidP="005A5EBA">
            <w:pPr>
              <w:rPr>
                <w:rFonts w:ascii="Arial" w:hAnsi="Arial" w:cs="Arial"/>
                <w:color w:val="000000" w:themeColor="text1"/>
                <w:sz w:val="16"/>
                <w:szCs w:val="16"/>
              </w:rPr>
            </w:pPr>
            <w:r w:rsidRPr="00E034D2">
              <w:rPr>
                <w:rFonts w:ascii="Arial" w:hAnsi="Arial" w:cs="Arial"/>
                <w:b/>
                <w:color w:val="000000" w:themeColor="text1"/>
                <w:sz w:val="16"/>
                <w:szCs w:val="16"/>
              </w:rPr>
              <w:t>Usable claim</w:t>
            </w:r>
          </w:p>
        </w:tc>
        <w:tc>
          <w:tcPr>
            <w:tcW w:w="2952" w:type="dxa"/>
            <w:shd w:val="clear" w:color="auto" w:fill="D9EAF7"/>
          </w:tcPr>
          <w:p w14:paraId="1006FB68" w14:textId="77777777" w:rsidR="00A37B8A" w:rsidRPr="00E034D2" w:rsidRDefault="00A37B8A" w:rsidP="005A5EBA">
            <w:pPr>
              <w:rPr>
                <w:rFonts w:ascii="Arial" w:hAnsi="Arial" w:cs="Arial"/>
                <w:color w:val="000000" w:themeColor="text1"/>
                <w:sz w:val="16"/>
                <w:szCs w:val="16"/>
              </w:rPr>
            </w:pPr>
            <w:r w:rsidRPr="00E034D2">
              <w:rPr>
                <w:rFonts w:ascii="Arial" w:hAnsi="Arial" w:cs="Arial"/>
                <w:b/>
                <w:color w:val="000000" w:themeColor="text1"/>
                <w:sz w:val="16"/>
                <w:szCs w:val="16"/>
              </w:rPr>
              <w:t>NTL/GHSL implication</w:t>
            </w:r>
          </w:p>
        </w:tc>
      </w:tr>
      <w:tr w:rsidR="00A37B8A" w:rsidRPr="00E034D2" w14:paraId="228099C5" w14:textId="77777777" w:rsidTr="005A5EBA">
        <w:trPr>
          <w:cantSplit/>
          <w:jc w:val="center"/>
        </w:trPr>
        <w:tc>
          <w:tcPr>
            <w:tcW w:w="2160" w:type="dxa"/>
          </w:tcPr>
          <w:p w14:paraId="2759A088"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Building damage/collapse</w:t>
            </w:r>
          </w:p>
        </w:tc>
        <w:tc>
          <w:tcPr>
            <w:tcW w:w="2880" w:type="dxa"/>
          </w:tcPr>
          <w:p w14:paraId="34704EA9"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Number or area of damaged/collapsed buildings.</w:t>
            </w:r>
          </w:p>
        </w:tc>
        <w:tc>
          <w:tcPr>
            <w:tcW w:w="2808" w:type="dxa"/>
          </w:tcPr>
          <w:p w14:paraId="53866749"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Physical damage.</w:t>
            </w:r>
          </w:p>
        </w:tc>
        <w:tc>
          <w:tcPr>
            <w:tcW w:w="2952" w:type="dxa"/>
          </w:tcPr>
          <w:p w14:paraId="663536B5"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NTL may decline when damage causes outages or reduced use, but it cannot locate structural collapse.</w:t>
            </w:r>
          </w:p>
        </w:tc>
      </w:tr>
      <w:tr w:rsidR="00A37B8A" w:rsidRPr="00E034D2" w14:paraId="12A460F5" w14:textId="77777777" w:rsidTr="005A5EBA">
        <w:trPr>
          <w:cantSplit/>
          <w:jc w:val="center"/>
        </w:trPr>
        <w:tc>
          <w:tcPr>
            <w:tcW w:w="2160" w:type="dxa"/>
          </w:tcPr>
          <w:p w14:paraId="3A97D024"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Building removal/reconstruction</w:t>
            </w:r>
          </w:p>
        </w:tc>
        <w:tc>
          <w:tcPr>
            <w:tcW w:w="2880" w:type="dxa"/>
          </w:tcPr>
          <w:p w14:paraId="6D18CA0B"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Changes from rubble/damaged buildings to rebuilt structures.</w:t>
            </w:r>
          </w:p>
        </w:tc>
        <w:tc>
          <w:tcPr>
            <w:tcW w:w="2808" w:type="dxa"/>
          </w:tcPr>
          <w:p w14:paraId="6B0C0772"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Physical reconstruction and settlement rebuilding.</w:t>
            </w:r>
          </w:p>
        </w:tc>
        <w:tc>
          <w:tcPr>
            <w:tcW w:w="2952" w:type="dxa"/>
          </w:tcPr>
          <w:p w14:paraId="47869F91"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A return of NTL may precede, lag, or diverge from reconstruction; do not equate light recovery with building recovery.</w:t>
            </w:r>
          </w:p>
        </w:tc>
      </w:tr>
      <w:tr w:rsidR="00A37B8A" w:rsidRPr="00E034D2" w14:paraId="71D2D86B" w14:textId="77777777" w:rsidTr="005A5EBA">
        <w:trPr>
          <w:cantSplit/>
          <w:jc w:val="center"/>
        </w:trPr>
        <w:tc>
          <w:tcPr>
            <w:tcW w:w="2160" w:type="dxa"/>
          </w:tcPr>
          <w:p w14:paraId="47286454"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Building morphology</w:t>
            </w:r>
          </w:p>
        </w:tc>
        <w:tc>
          <w:tcPr>
            <w:tcW w:w="2880" w:type="dxa"/>
          </w:tcPr>
          <w:p w14:paraId="739DD5BC"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Building size, shape, density, and form as proxies for land use or settlement type.</w:t>
            </w:r>
          </w:p>
        </w:tc>
        <w:tc>
          <w:tcPr>
            <w:tcW w:w="2808" w:type="dxa"/>
          </w:tcPr>
          <w:p w14:paraId="091D8ABB"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Urban function and vulnerability proxies.</w:t>
            </w:r>
          </w:p>
        </w:tc>
        <w:tc>
          <w:tcPr>
            <w:tcW w:w="2952" w:type="dxa"/>
          </w:tcPr>
          <w:p w14:paraId="4D5FDDF5"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GHSL is a scalable morphology layer; use it to stratify NTL rather than to measure recovery.</w:t>
            </w:r>
          </w:p>
        </w:tc>
      </w:tr>
      <w:tr w:rsidR="00A37B8A" w:rsidRPr="00E034D2" w14:paraId="220F9AF5" w14:textId="77777777" w:rsidTr="005A5EBA">
        <w:trPr>
          <w:cantSplit/>
          <w:jc w:val="center"/>
        </w:trPr>
        <w:tc>
          <w:tcPr>
            <w:tcW w:w="2160" w:type="dxa"/>
          </w:tcPr>
          <w:p w14:paraId="40C56799"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Road accessibility and transport facilities</w:t>
            </w:r>
          </w:p>
        </w:tc>
        <w:tc>
          <w:tcPr>
            <w:tcW w:w="2880" w:type="dxa"/>
          </w:tcPr>
          <w:p w14:paraId="7024339E"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Road condition, bridges, public transport facilities, blockages, vehicles.</w:t>
            </w:r>
          </w:p>
        </w:tc>
        <w:tc>
          <w:tcPr>
            <w:tcW w:w="2808" w:type="dxa"/>
          </w:tcPr>
          <w:p w14:paraId="37DD28D6"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Mobility and access recovery.</w:t>
            </w:r>
          </w:p>
        </w:tc>
        <w:tc>
          <w:tcPr>
            <w:tcW w:w="2952" w:type="dxa"/>
          </w:tcPr>
          <w:p w14:paraId="3A747DEC" w14:textId="77777777" w:rsidR="00A37B8A" w:rsidRPr="00E034D2" w:rsidRDefault="00A37B8A" w:rsidP="005A5EBA">
            <w:pPr>
              <w:rPr>
                <w:rFonts w:ascii="Arial" w:hAnsi="Arial" w:cs="Arial"/>
                <w:color w:val="000000" w:themeColor="text1"/>
                <w:sz w:val="16"/>
                <w:szCs w:val="16"/>
              </w:rPr>
            </w:pPr>
            <w:r w:rsidRPr="009F53D4">
              <w:rPr>
                <w:rFonts w:ascii="Arial" w:hAnsi="Arial" w:cs="Arial"/>
                <w:b/>
                <w:bCs/>
                <w:color w:val="000000" w:themeColor="text1"/>
                <w:sz w:val="16"/>
                <w:szCs w:val="16"/>
              </w:rPr>
              <w:t>NTL</w:t>
            </w:r>
            <w:r w:rsidRPr="00E034D2">
              <w:rPr>
                <w:rFonts w:ascii="Arial" w:hAnsi="Arial" w:cs="Arial"/>
                <w:color w:val="000000" w:themeColor="text1"/>
                <w:sz w:val="16"/>
                <w:szCs w:val="16"/>
              </w:rPr>
              <w:t xml:space="preserve"> </w:t>
            </w:r>
            <w:r w:rsidRPr="009F53D4">
              <w:rPr>
                <w:rFonts w:ascii="Arial" w:hAnsi="Arial" w:cs="Arial"/>
                <w:b/>
                <w:bCs/>
                <w:color w:val="000000" w:themeColor="text1"/>
                <w:sz w:val="16"/>
                <w:szCs w:val="16"/>
              </w:rPr>
              <w:t xml:space="preserve">may reflect activity along transport </w:t>
            </w:r>
            <w:proofErr w:type="gramStart"/>
            <w:r w:rsidRPr="009F53D4">
              <w:rPr>
                <w:rFonts w:ascii="Arial" w:hAnsi="Arial" w:cs="Arial"/>
                <w:b/>
                <w:bCs/>
                <w:color w:val="000000" w:themeColor="text1"/>
                <w:sz w:val="16"/>
                <w:szCs w:val="16"/>
              </w:rPr>
              <w:t>corridors</w:t>
            </w:r>
            <w:r w:rsidRPr="00E034D2">
              <w:rPr>
                <w:rFonts w:ascii="Arial" w:hAnsi="Arial" w:cs="Arial"/>
                <w:color w:val="000000" w:themeColor="text1"/>
                <w:sz w:val="16"/>
                <w:szCs w:val="16"/>
              </w:rPr>
              <w:t>, but</w:t>
            </w:r>
            <w:proofErr w:type="gramEnd"/>
            <w:r w:rsidRPr="00E034D2">
              <w:rPr>
                <w:rFonts w:ascii="Arial" w:hAnsi="Arial" w:cs="Arial"/>
                <w:color w:val="000000" w:themeColor="text1"/>
                <w:sz w:val="16"/>
                <w:szCs w:val="16"/>
              </w:rPr>
              <w:t xml:space="preserve"> cannot confirm road </w:t>
            </w:r>
            <w:proofErr w:type="spellStart"/>
            <w:r w:rsidRPr="00E034D2">
              <w:rPr>
                <w:rFonts w:ascii="Arial" w:hAnsi="Arial" w:cs="Arial"/>
                <w:color w:val="000000" w:themeColor="text1"/>
                <w:sz w:val="16"/>
                <w:szCs w:val="16"/>
              </w:rPr>
              <w:t>passability</w:t>
            </w:r>
            <w:proofErr w:type="spellEnd"/>
            <w:r w:rsidRPr="00E034D2">
              <w:rPr>
                <w:rFonts w:ascii="Arial" w:hAnsi="Arial" w:cs="Arial"/>
                <w:color w:val="000000" w:themeColor="text1"/>
                <w:sz w:val="16"/>
                <w:szCs w:val="16"/>
              </w:rPr>
              <w:t>.</w:t>
            </w:r>
          </w:p>
        </w:tc>
      </w:tr>
      <w:tr w:rsidR="00A37B8A" w:rsidRPr="00E034D2" w14:paraId="20B6D70F" w14:textId="77777777" w:rsidTr="005A5EBA">
        <w:trPr>
          <w:cantSplit/>
          <w:jc w:val="center"/>
        </w:trPr>
        <w:tc>
          <w:tcPr>
            <w:tcW w:w="2160" w:type="dxa"/>
          </w:tcPr>
          <w:p w14:paraId="4BB862C6"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Impervious surface</w:t>
            </w:r>
          </w:p>
        </w:tc>
        <w:tc>
          <w:tcPr>
            <w:tcW w:w="2880" w:type="dxa"/>
          </w:tcPr>
          <w:p w14:paraId="7BB2217D"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Built-up/permeability proxy.</w:t>
            </w:r>
          </w:p>
        </w:tc>
        <w:tc>
          <w:tcPr>
            <w:tcW w:w="2808" w:type="dxa"/>
          </w:tcPr>
          <w:p w14:paraId="7BBBB743"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Urbanization, flood vulnerability, and some recovery dimensions.</w:t>
            </w:r>
          </w:p>
        </w:tc>
        <w:tc>
          <w:tcPr>
            <w:tcW w:w="2952" w:type="dxa"/>
          </w:tcPr>
          <w:p w14:paraId="6B72731C" w14:textId="77777777" w:rsidR="00A37B8A" w:rsidRPr="00E034D2" w:rsidRDefault="00A37B8A" w:rsidP="005A5EBA">
            <w:pPr>
              <w:rPr>
                <w:rFonts w:ascii="Arial" w:hAnsi="Arial" w:cs="Arial"/>
                <w:color w:val="000000" w:themeColor="text1"/>
                <w:sz w:val="16"/>
                <w:szCs w:val="16"/>
              </w:rPr>
            </w:pPr>
            <w:r w:rsidRPr="00E034D2">
              <w:rPr>
                <w:rFonts w:ascii="Arial" w:hAnsi="Arial" w:cs="Arial"/>
                <w:color w:val="000000" w:themeColor="text1"/>
                <w:sz w:val="16"/>
                <w:szCs w:val="16"/>
              </w:rPr>
              <w:t xml:space="preserve">GHSL and built-up masks can </w:t>
            </w:r>
            <w:r w:rsidRPr="00656B03">
              <w:rPr>
                <w:rFonts w:ascii="Arial" w:hAnsi="Arial" w:cs="Arial"/>
                <w:b/>
                <w:bCs/>
                <w:color w:val="000000" w:themeColor="text1"/>
                <w:sz w:val="16"/>
                <w:szCs w:val="16"/>
              </w:rPr>
              <w:t>constrain NTL to settlement pixels, reducing rural/noise contamination.</w:t>
            </w:r>
          </w:p>
        </w:tc>
      </w:tr>
    </w:tbl>
    <w:p w14:paraId="216524DB" w14:textId="77777777" w:rsidR="00A37B8A" w:rsidRPr="00D87CEC" w:rsidRDefault="00A37B8A" w:rsidP="00A37B8A">
      <w:pPr>
        <w:rPr>
          <w:rFonts w:ascii="Arial" w:hAnsi="Arial" w:cs="Arial"/>
          <w:color w:val="000000" w:themeColor="text1"/>
          <w:sz w:val="20"/>
          <w:szCs w:val="20"/>
        </w:rPr>
      </w:pPr>
    </w:p>
    <w:p w14:paraId="4043A732" w14:textId="77777777" w:rsidR="00A37B8A" w:rsidRPr="00656B03" w:rsidRDefault="00A37B8A" w:rsidP="00A37B8A">
      <w:pPr>
        <w:pStyle w:val="Heading2"/>
        <w:rPr>
          <w:rFonts w:ascii="Arial" w:hAnsi="Arial" w:cs="Arial"/>
          <w:b/>
          <w:bCs/>
          <w:color w:val="000000" w:themeColor="text1"/>
          <w:sz w:val="20"/>
          <w:szCs w:val="20"/>
        </w:rPr>
      </w:pPr>
      <w:bookmarkStart w:id="9" w:name="_Toc234318908"/>
      <w:r w:rsidRPr="00656B03">
        <w:rPr>
          <w:rFonts w:ascii="Arial" w:hAnsi="Arial" w:cs="Arial"/>
          <w:b/>
          <w:bCs/>
          <w:color w:val="000000" w:themeColor="text1"/>
          <w:sz w:val="20"/>
          <w:szCs w:val="20"/>
        </w:rPr>
        <w:t xml:space="preserve">2.4 Economic proxies: where nighttime lights </w:t>
      </w:r>
      <w:proofErr w:type="gramStart"/>
      <w:r w:rsidRPr="00656B03">
        <w:rPr>
          <w:rFonts w:ascii="Arial" w:hAnsi="Arial" w:cs="Arial"/>
          <w:b/>
          <w:bCs/>
          <w:color w:val="000000" w:themeColor="text1"/>
          <w:sz w:val="20"/>
          <w:szCs w:val="20"/>
        </w:rPr>
        <w:t>enters</w:t>
      </w:r>
      <w:proofErr w:type="gramEnd"/>
      <w:r w:rsidRPr="00656B03">
        <w:rPr>
          <w:rFonts w:ascii="Arial" w:hAnsi="Arial" w:cs="Arial"/>
          <w:b/>
          <w:bCs/>
          <w:color w:val="000000" w:themeColor="text1"/>
          <w:sz w:val="20"/>
          <w:szCs w:val="20"/>
        </w:rPr>
        <w:t xml:space="preserve"> the thesis</w:t>
      </w:r>
      <w:bookmarkEnd w:id="9"/>
    </w:p>
    <w:p w14:paraId="7E72077F"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 xml:space="preserve">The economic environment is where nighttime lights is most directly positioned. Chapter 2 states that nightlight satellite imagery has been used to assess the economic impacts of hurricanes, typhoons, and tropical cyclones, and that a strong relationship has been shown between light intensity and GDP (Bertinelli and Strobl, 2013; Elliott et al., 2015; </w:t>
      </w:r>
      <w:proofErr w:type="spellStart"/>
      <w:r w:rsidRPr="00D87CEC">
        <w:rPr>
          <w:rFonts w:ascii="Arial" w:hAnsi="Arial" w:cs="Arial"/>
          <w:color w:val="000000" w:themeColor="text1"/>
          <w:sz w:val="20"/>
          <w:szCs w:val="20"/>
        </w:rPr>
        <w:t>Mellander</w:t>
      </w:r>
      <w:proofErr w:type="spellEnd"/>
      <w:r w:rsidRPr="00D87CEC">
        <w:rPr>
          <w:rFonts w:ascii="Arial" w:hAnsi="Arial" w:cs="Arial"/>
          <w:color w:val="000000" w:themeColor="text1"/>
          <w:sz w:val="20"/>
          <w:szCs w:val="20"/>
        </w:rPr>
        <w:t xml:space="preserve"> et al., 2015; Mohan and Strobl, 2017; </w:t>
      </w:r>
      <w:proofErr w:type="spellStart"/>
      <w:r w:rsidRPr="00D87CEC">
        <w:rPr>
          <w:rFonts w:ascii="Arial" w:hAnsi="Arial" w:cs="Arial"/>
          <w:color w:val="000000" w:themeColor="text1"/>
          <w:sz w:val="20"/>
          <w:szCs w:val="20"/>
        </w:rPr>
        <w:t>Proville</w:t>
      </w:r>
      <w:proofErr w:type="spellEnd"/>
      <w:r w:rsidRPr="00D87CEC">
        <w:rPr>
          <w:rFonts w:ascii="Arial" w:hAnsi="Arial" w:cs="Arial"/>
          <w:color w:val="000000" w:themeColor="text1"/>
          <w:sz w:val="20"/>
          <w:szCs w:val="20"/>
        </w:rPr>
        <w:t xml:space="preserve"> et al., 2017). The World Bank is also cited as using nighttime lights as a potential proxy for economic resilience.</w:t>
      </w:r>
    </w:p>
    <w:tbl>
      <w:tblPr>
        <w:tblStyle w:val="TableGrid"/>
        <w:tblW w:w="0" w:type="auto"/>
        <w:jc w:val="center"/>
        <w:tblLook w:val="04A0" w:firstRow="1" w:lastRow="0" w:firstColumn="1" w:lastColumn="0" w:noHBand="0" w:noVBand="1"/>
      </w:tblPr>
      <w:tblGrid>
        <w:gridCol w:w="1816"/>
        <w:gridCol w:w="2297"/>
        <w:gridCol w:w="2468"/>
        <w:gridCol w:w="2435"/>
      </w:tblGrid>
      <w:tr w:rsidR="00A37B8A" w:rsidRPr="009B6EC7" w14:paraId="59099135" w14:textId="77777777" w:rsidTr="005A5EBA">
        <w:trPr>
          <w:cantSplit/>
          <w:tblHeader/>
          <w:jc w:val="center"/>
        </w:trPr>
        <w:tc>
          <w:tcPr>
            <w:tcW w:w="2232" w:type="dxa"/>
            <w:shd w:val="clear" w:color="auto" w:fill="D9EAF7"/>
          </w:tcPr>
          <w:p w14:paraId="77968746" w14:textId="77777777" w:rsidR="00A37B8A" w:rsidRPr="009B6EC7" w:rsidRDefault="00A37B8A" w:rsidP="005A5EBA">
            <w:pPr>
              <w:rPr>
                <w:rFonts w:ascii="Arial" w:hAnsi="Arial" w:cs="Arial"/>
                <w:color w:val="000000" w:themeColor="text1"/>
                <w:sz w:val="16"/>
                <w:szCs w:val="16"/>
              </w:rPr>
            </w:pPr>
            <w:r w:rsidRPr="009B6EC7">
              <w:rPr>
                <w:rFonts w:ascii="Arial" w:hAnsi="Arial" w:cs="Arial"/>
                <w:b/>
                <w:color w:val="000000" w:themeColor="text1"/>
                <w:sz w:val="16"/>
                <w:szCs w:val="16"/>
              </w:rPr>
              <w:t>Economic proxy</w:t>
            </w:r>
          </w:p>
        </w:tc>
        <w:tc>
          <w:tcPr>
            <w:tcW w:w="2880" w:type="dxa"/>
            <w:shd w:val="clear" w:color="auto" w:fill="D9EAF7"/>
          </w:tcPr>
          <w:p w14:paraId="64D07719" w14:textId="77777777" w:rsidR="00A37B8A" w:rsidRPr="009B6EC7" w:rsidRDefault="00A37B8A" w:rsidP="005A5EBA">
            <w:pPr>
              <w:rPr>
                <w:rFonts w:ascii="Arial" w:hAnsi="Arial" w:cs="Arial"/>
                <w:color w:val="000000" w:themeColor="text1"/>
                <w:sz w:val="16"/>
                <w:szCs w:val="16"/>
              </w:rPr>
            </w:pPr>
            <w:r w:rsidRPr="009B6EC7">
              <w:rPr>
                <w:rFonts w:ascii="Arial" w:hAnsi="Arial" w:cs="Arial"/>
                <w:b/>
                <w:color w:val="000000" w:themeColor="text1"/>
                <w:sz w:val="16"/>
                <w:szCs w:val="16"/>
              </w:rPr>
              <w:t>Essence</w:t>
            </w:r>
          </w:p>
        </w:tc>
        <w:tc>
          <w:tcPr>
            <w:tcW w:w="2880" w:type="dxa"/>
            <w:shd w:val="clear" w:color="auto" w:fill="D9EAF7"/>
          </w:tcPr>
          <w:p w14:paraId="2C75DEDD" w14:textId="77777777" w:rsidR="00A37B8A" w:rsidRPr="009B6EC7" w:rsidRDefault="00A37B8A" w:rsidP="005A5EBA">
            <w:pPr>
              <w:rPr>
                <w:rFonts w:ascii="Arial" w:hAnsi="Arial" w:cs="Arial"/>
                <w:color w:val="000000" w:themeColor="text1"/>
                <w:sz w:val="16"/>
                <w:szCs w:val="16"/>
              </w:rPr>
            </w:pPr>
            <w:r w:rsidRPr="009B6EC7">
              <w:rPr>
                <w:rFonts w:ascii="Arial" w:hAnsi="Arial" w:cs="Arial"/>
                <w:b/>
                <w:color w:val="000000" w:themeColor="text1"/>
                <w:sz w:val="16"/>
                <w:szCs w:val="16"/>
              </w:rPr>
              <w:t>What it represents</w:t>
            </w:r>
          </w:p>
        </w:tc>
        <w:tc>
          <w:tcPr>
            <w:tcW w:w="2880" w:type="dxa"/>
            <w:shd w:val="clear" w:color="auto" w:fill="D9EAF7"/>
          </w:tcPr>
          <w:p w14:paraId="40F38386" w14:textId="77777777" w:rsidR="00A37B8A" w:rsidRPr="009B6EC7" w:rsidRDefault="00A37B8A" w:rsidP="005A5EBA">
            <w:pPr>
              <w:rPr>
                <w:rFonts w:ascii="Arial" w:hAnsi="Arial" w:cs="Arial"/>
                <w:color w:val="000000" w:themeColor="text1"/>
                <w:sz w:val="16"/>
                <w:szCs w:val="16"/>
              </w:rPr>
            </w:pPr>
            <w:r w:rsidRPr="009B6EC7">
              <w:rPr>
                <w:rFonts w:ascii="Arial" w:hAnsi="Arial" w:cs="Arial"/>
                <w:b/>
                <w:color w:val="000000" w:themeColor="text1"/>
                <w:sz w:val="16"/>
                <w:szCs w:val="16"/>
              </w:rPr>
              <w:t>RQ2 implication</w:t>
            </w:r>
          </w:p>
        </w:tc>
      </w:tr>
      <w:tr w:rsidR="00A37B8A" w:rsidRPr="009B6EC7" w14:paraId="6CF10289" w14:textId="77777777" w:rsidTr="005A5EBA">
        <w:trPr>
          <w:cantSplit/>
          <w:jc w:val="center"/>
        </w:trPr>
        <w:tc>
          <w:tcPr>
            <w:tcW w:w="2232" w:type="dxa"/>
          </w:tcPr>
          <w:p w14:paraId="5F147CD0"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Land use</w:t>
            </w:r>
          </w:p>
        </w:tc>
        <w:tc>
          <w:tcPr>
            <w:tcW w:w="2880" w:type="dxa"/>
          </w:tcPr>
          <w:p w14:paraId="30051A3F"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Type and location of economic activities.</w:t>
            </w:r>
          </w:p>
        </w:tc>
        <w:tc>
          <w:tcPr>
            <w:tcW w:w="2880" w:type="dxa"/>
          </w:tcPr>
          <w:p w14:paraId="4ECC9ED4"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Can identify where economic functions are located, but not whether they are operating.</w:t>
            </w:r>
          </w:p>
        </w:tc>
        <w:tc>
          <w:tcPr>
            <w:tcW w:w="2880" w:type="dxa"/>
          </w:tcPr>
          <w:p w14:paraId="1AF610D9" w14:textId="77777777" w:rsidR="00A37B8A" w:rsidRPr="009B6EC7" w:rsidRDefault="00A37B8A" w:rsidP="005A5EBA">
            <w:pPr>
              <w:rPr>
                <w:rFonts w:ascii="Arial" w:hAnsi="Arial" w:cs="Arial"/>
                <w:color w:val="000000" w:themeColor="text1"/>
                <w:sz w:val="16"/>
                <w:szCs w:val="16"/>
              </w:rPr>
            </w:pPr>
            <w:r w:rsidRPr="009B6EC7">
              <w:rPr>
                <w:rFonts w:ascii="Arial" w:hAnsi="Arial" w:cs="Arial"/>
                <w:b/>
                <w:bCs/>
                <w:color w:val="000000" w:themeColor="text1"/>
                <w:sz w:val="16"/>
                <w:szCs w:val="16"/>
              </w:rPr>
              <w:t>NTL can add operation/activity timing</w:t>
            </w:r>
            <w:r w:rsidRPr="009B6EC7">
              <w:rPr>
                <w:rFonts w:ascii="Arial" w:hAnsi="Arial" w:cs="Arial"/>
                <w:color w:val="000000" w:themeColor="text1"/>
                <w:sz w:val="16"/>
                <w:szCs w:val="16"/>
              </w:rPr>
              <w:t>, especially where electricity restoration is relevant.</w:t>
            </w:r>
          </w:p>
        </w:tc>
      </w:tr>
      <w:tr w:rsidR="00A37B8A" w:rsidRPr="009B6EC7" w14:paraId="1A1D4471" w14:textId="77777777" w:rsidTr="005A5EBA">
        <w:trPr>
          <w:cantSplit/>
          <w:jc w:val="center"/>
        </w:trPr>
        <w:tc>
          <w:tcPr>
            <w:tcW w:w="2232" w:type="dxa"/>
          </w:tcPr>
          <w:p w14:paraId="74FB3A54"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Nighttime light intensity</w:t>
            </w:r>
          </w:p>
        </w:tc>
        <w:tc>
          <w:tcPr>
            <w:tcW w:w="2880" w:type="dxa"/>
          </w:tcPr>
          <w:p w14:paraId="64F98C65"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Economic activity, electricity availability, and disaster-related luminosity change.</w:t>
            </w:r>
          </w:p>
        </w:tc>
        <w:tc>
          <w:tcPr>
            <w:tcW w:w="2880" w:type="dxa"/>
          </w:tcPr>
          <w:p w14:paraId="548BDD7A"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Broad economic/disruption proxy.</w:t>
            </w:r>
          </w:p>
        </w:tc>
        <w:tc>
          <w:tcPr>
            <w:tcW w:w="2880" w:type="dxa"/>
          </w:tcPr>
          <w:p w14:paraId="14BC628C"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Core RQ2 signal, but only after MQF=0 and valid-pixel observability tests.</w:t>
            </w:r>
          </w:p>
        </w:tc>
      </w:tr>
      <w:tr w:rsidR="00A37B8A" w:rsidRPr="009B6EC7" w14:paraId="458BE761" w14:textId="77777777" w:rsidTr="005A5EBA">
        <w:trPr>
          <w:cantSplit/>
          <w:jc w:val="center"/>
        </w:trPr>
        <w:tc>
          <w:tcPr>
            <w:tcW w:w="2232" w:type="dxa"/>
          </w:tcPr>
          <w:p w14:paraId="6FD763A3"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Boats, piers, arable land, crops</w:t>
            </w:r>
          </w:p>
        </w:tc>
        <w:tc>
          <w:tcPr>
            <w:tcW w:w="2880" w:type="dxa"/>
          </w:tcPr>
          <w:p w14:paraId="35165415"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Livelihood-specific proxies.</w:t>
            </w:r>
          </w:p>
        </w:tc>
        <w:tc>
          <w:tcPr>
            <w:tcW w:w="2880" w:type="dxa"/>
          </w:tcPr>
          <w:p w14:paraId="34A48AD0"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 xml:space="preserve">Useful but highly local and </w:t>
            </w:r>
            <w:proofErr w:type="gramStart"/>
            <w:r w:rsidRPr="009B6EC7">
              <w:rPr>
                <w:rFonts w:ascii="Arial" w:hAnsi="Arial" w:cs="Arial"/>
                <w:color w:val="000000" w:themeColor="text1"/>
                <w:sz w:val="16"/>
                <w:szCs w:val="16"/>
              </w:rPr>
              <w:t>sector-specific</w:t>
            </w:r>
            <w:proofErr w:type="gramEnd"/>
            <w:r w:rsidRPr="009B6EC7">
              <w:rPr>
                <w:rFonts w:ascii="Arial" w:hAnsi="Arial" w:cs="Arial"/>
                <w:color w:val="000000" w:themeColor="text1"/>
                <w:sz w:val="16"/>
                <w:szCs w:val="16"/>
              </w:rPr>
              <w:t>.</w:t>
            </w:r>
          </w:p>
        </w:tc>
        <w:tc>
          <w:tcPr>
            <w:tcW w:w="2880" w:type="dxa"/>
          </w:tcPr>
          <w:p w14:paraId="276E1798"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NTL will miss</w:t>
            </w:r>
            <w:r w:rsidRPr="005870F7">
              <w:rPr>
                <w:rFonts w:ascii="Arial" w:hAnsi="Arial" w:cs="Arial"/>
                <w:b/>
                <w:bCs/>
                <w:color w:val="000000" w:themeColor="text1"/>
                <w:sz w:val="16"/>
                <w:szCs w:val="16"/>
              </w:rPr>
              <w:t xml:space="preserve"> non-lit or daylight livelihoods; </w:t>
            </w:r>
            <w:r w:rsidRPr="009B6EC7">
              <w:rPr>
                <w:rFonts w:ascii="Arial" w:hAnsi="Arial" w:cs="Arial"/>
                <w:color w:val="000000" w:themeColor="text1"/>
                <w:sz w:val="16"/>
                <w:szCs w:val="16"/>
              </w:rPr>
              <w:t>avoid assuming agricultural recovery from lights.</w:t>
            </w:r>
          </w:p>
        </w:tc>
      </w:tr>
      <w:tr w:rsidR="00A37B8A" w:rsidRPr="009B6EC7" w14:paraId="200130CA" w14:textId="77777777" w:rsidTr="005A5EBA">
        <w:trPr>
          <w:cantSplit/>
          <w:jc w:val="center"/>
        </w:trPr>
        <w:tc>
          <w:tcPr>
            <w:tcW w:w="2232" w:type="dxa"/>
          </w:tcPr>
          <w:p w14:paraId="233840D1"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Industrial proxies</w:t>
            </w:r>
          </w:p>
        </w:tc>
        <w:tc>
          <w:tcPr>
            <w:tcW w:w="2880" w:type="dxa"/>
          </w:tcPr>
          <w:p w14:paraId="401B5DD4"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Heavy vehicles, chimneys, warehouses, roof materials, large industrial buildings.</w:t>
            </w:r>
          </w:p>
        </w:tc>
        <w:tc>
          <w:tcPr>
            <w:tcW w:w="2880" w:type="dxa"/>
          </w:tcPr>
          <w:p w14:paraId="74EB67ED" w14:textId="77777777" w:rsidR="00A37B8A" w:rsidRPr="009B6EC7" w:rsidRDefault="00A37B8A" w:rsidP="005A5EBA">
            <w:pPr>
              <w:rPr>
                <w:rFonts w:ascii="Arial" w:hAnsi="Arial" w:cs="Arial"/>
                <w:color w:val="000000" w:themeColor="text1"/>
                <w:sz w:val="16"/>
                <w:szCs w:val="16"/>
              </w:rPr>
            </w:pPr>
            <w:r w:rsidRPr="009B6EC7">
              <w:rPr>
                <w:rFonts w:ascii="Arial" w:hAnsi="Arial" w:cs="Arial"/>
                <w:color w:val="000000" w:themeColor="text1"/>
                <w:sz w:val="16"/>
                <w:szCs w:val="16"/>
              </w:rPr>
              <w:t>Industrial location and possible recovery.</w:t>
            </w:r>
          </w:p>
        </w:tc>
        <w:tc>
          <w:tcPr>
            <w:tcW w:w="2880" w:type="dxa"/>
          </w:tcPr>
          <w:p w14:paraId="05FEEE1B" w14:textId="77777777" w:rsidR="00A37B8A" w:rsidRPr="00CD5EE5" w:rsidRDefault="00A37B8A" w:rsidP="005A5EBA">
            <w:pPr>
              <w:rPr>
                <w:rFonts w:ascii="Arial" w:hAnsi="Arial" w:cs="Arial"/>
                <w:b/>
                <w:bCs/>
                <w:color w:val="000000" w:themeColor="text1"/>
                <w:sz w:val="16"/>
                <w:szCs w:val="16"/>
              </w:rPr>
            </w:pPr>
            <w:r w:rsidRPr="00CD5EE5">
              <w:rPr>
                <w:rFonts w:ascii="Arial" w:hAnsi="Arial" w:cs="Arial"/>
                <w:b/>
                <w:bCs/>
                <w:color w:val="000000" w:themeColor="text1"/>
                <w:sz w:val="16"/>
                <w:szCs w:val="16"/>
              </w:rPr>
              <w:t>NTL may detect lit industrial activity but cannot classify industry type reliably.</w:t>
            </w:r>
          </w:p>
        </w:tc>
      </w:tr>
    </w:tbl>
    <w:p w14:paraId="68B98AF3" w14:textId="77777777" w:rsidR="00A37B8A" w:rsidRPr="00D87CEC" w:rsidRDefault="00A37B8A" w:rsidP="00A37B8A">
      <w:pPr>
        <w:rPr>
          <w:rFonts w:ascii="Arial" w:hAnsi="Arial" w:cs="Arial"/>
          <w:color w:val="000000" w:themeColor="text1"/>
          <w:sz w:val="20"/>
          <w:szCs w:val="20"/>
        </w:rPr>
      </w:pPr>
    </w:p>
    <w:p w14:paraId="311476C0" w14:textId="77777777" w:rsidR="00A37B8A" w:rsidRPr="00CD5EE5" w:rsidRDefault="00A37B8A" w:rsidP="00A37B8A">
      <w:pPr>
        <w:pStyle w:val="Heading2"/>
        <w:rPr>
          <w:rFonts w:ascii="Arial" w:hAnsi="Arial" w:cs="Arial"/>
          <w:b/>
          <w:bCs/>
          <w:color w:val="000000" w:themeColor="text1"/>
          <w:sz w:val="20"/>
          <w:szCs w:val="20"/>
        </w:rPr>
      </w:pPr>
      <w:bookmarkStart w:id="10" w:name="_Toc234318909"/>
      <w:r w:rsidRPr="00CD5EE5">
        <w:rPr>
          <w:rFonts w:ascii="Arial" w:hAnsi="Arial" w:cs="Arial"/>
          <w:b/>
          <w:bCs/>
          <w:color w:val="000000" w:themeColor="text1"/>
          <w:sz w:val="20"/>
          <w:szCs w:val="20"/>
        </w:rPr>
        <w:t>2.5 Social proxies and the GHSL bridge</w:t>
      </w:r>
      <w:bookmarkEnd w:id="10"/>
    </w:p>
    <w:p w14:paraId="791C81DB"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 xml:space="preserve">The social proxy review is important because it clarifies what GHSL can and cannot do in an NTL workflow.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discusses proxies such as settlement type, informal settlement morphology, proportion of built-up and vegetated area, available infrastructure, roof type, road conditions, facilities, and temporary accommodation. These are not social variables themselves; they are physical or morphological correlates of social conditions.</w:t>
      </w:r>
    </w:p>
    <w:tbl>
      <w:tblPr>
        <w:tblStyle w:val="TableGrid"/>
        <w:tblW w:w="0" w:type="auto"/>
        <w:jc w:val="center"/>
        <w:tblLook w:val="04A0" w:firstRow="1" w:lastRow="0" w:firstColumn="1" w:lastColumn="0" w:noHBand="0" w:noVBand="1"/>
      </w:tblPr>
      <w:tblGrid>
        <w:gridCol w:w="2200"/>
        <w:gridCol w:w="3424"/>
        <w:gridCol w:w="3392"/>
      </w:tblGrid>
      <w:tr w:rsidR="00A37B8A" w:rsidRPr="00CD5EE5" w14:paraId="0594F5E7" w14:textId="77777777" w:rsidTr="005A5EBA">
        <w:trPr>
          <w:cantSplit/>
          <w:tblHeader/>
          <w:jc w:val="center"/>
        </w:trPr>
        <w:tc>
          <w:tcPr>
            <w:tcW w:w="2448" w:type="dxa"/>
            <w:shd w:val="clear" w:color="auto" w:fill="D9EAF7"/>
          </w:tcPr>
          <w:p w14:paraId="55AEB428" w14:textId="77777777" w:rsidR="00A37B8A" w:rsidRPr="00CD5EE5" w:rsidRDefault="00A37B8A" w:rsidP="005A5EBA">
            <w:pPr>
              <w:rPr>
                <w:rFonts w:ascii="Arial" w:hAnsi="Arial" w:cs="Arial"/>
                <w:color w:val="000000" w:themeColor="text1"/>
                <w:sz w:val="16"/>
                <w:szCs w:val="16"/>
              </w:rPr>
            </w:pPr>
            <w:r w:rsidRPr="00CD5EE5">
              <w:rPr>
                <w:rFonts w:ascii="Arial" w:hAnsi="Arial" w:cs="Arial"/>
                <w:b/>
                <w:color w:val="000000" w:themeColor="text1"/>
                <w:sz w:val="16"/>
                <w:szCs w:val="16"/>
              </w:rPr>
              <w:t>Social proxy</w:t>
            </w:r>
          </w:p>
        </w:tc>
        <w:tc>
          <w:tcPr>
            <w:tcW w:w="4032" w:type="dxa"/>
            <w:shd w:val="clear" w:color="auto" w:fill="D9EAF7"/>
          </w:tcPr>
          <w:p w14:paraId="2A423747" w14:textId="77777777" w:rsidR="00A37B8A" w:rsidRPr="00CD5EE5" w:rsidRDefault="00A37B8A" w:rsidP="005A5EBA">
            <w:pPr>
              <w:rPr>
                <w:rFonts w:ascii="Arial" w:hAnsi="Arial" w:cs="Arial"/>
                <w:color w:val="000000" w:themeColor="text1"/>
                <w:sz w:val="16"/>
                <w:szCs w:val="16"/>
              </w:rPr>
            </w:pPr>
            <w:r w:rsidRPr="00CD5EE5">
              <w:rPr>
                <w:rFonts w:ascii="Arial" w:hAnsi="Arial" w:cs="Arial"/>
                <w:b/>
                <w:color w:val="000000" w:themeColor="text1"/>
                <w:sz w:val="16"/>
                <w:szCs w:val="16"/>
              </w:rPr>
              <w:t>Thesis logic</w:t>
            </w:r>
          </w:p>
        </w:tc>
        <w:tc>
          <w:tcPr>
            <w:tcW w:w="4032" w:type="dxa"/>
            <w:shd w:val="clear" w:color="auto" w:fill="D9EAF7"/>
          </w:tcPr>
          <w:p w14:paraId="494F62FA" w14:textId="77777777" w:rsidR="00A37B8A" w:rsidRPr="00CD5EE5" w:rsidRDefault="00A37B8A" w:rsidP="005A5EBA">
            <w:pPr>
              <w:rPr>
                <w:rFonts w:ascii="Arial" w:hAnsi="Arial" w:cs="Arial"/>
                <w:color w:val="000000" w:themeColor="text1"/>
                <w:sz w:val="16"/>
                <w:szCs w:val="16"/>
              </w:rPr>
            </w:pPr>
            <w:r w:rsidRPr="00CD5EE5">
              <w:rPr>
                <w:rFonts w:ascii="Arial" w:hAnsi="Arial" w:cs="Arial"/>
                <w:b/>
                <w:color w:val="000000" w:themeColor="text1"/>
                <w:sz w:val="16"/>
                <w:szCs w:val="16"/>
              </w:rPr>
              <w:t>GHSL/NTL translation</w:t>
            </w:r>
          </w:p>
        </w:tc>
      </w:tr>
      <w:tr w:rsidR="00A37B8A" w:rsidRPr="00CD5EE5" w14:paraId="7D301304" w14:textId="77777777" w:rsidTr="005A5EBA">
        <w:trPr>
          <w:cantSplit/>
          <w:jc w:val="center"/>
        </w:trPr>
        <w:tc>
          <w:tcPr>
            <w:tcW w:w="2448" w:type="dxa"/>
          </w:tcPr>
          <w:p w14:paraId="3EAA53AB"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Informal or irregular clusters</w:t>
            </w:r>
          </w:p>
        </w:tc>
        <w:tc>
          <w:tcPr>
            <w:tcW w:w="4032" w:type="dxa"/>
          </w:tcPr>
          <w:p w14:paraId="27589C2B"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Irregular roof/building patterns as a proxy for low-income or informal settlements.</w:t>
            </w:r>
          </w:p>
        </w:tc>
        <w:tc>
          <w:tcPr>
            <w:tcW w:w="4032" w:type="dxa"/>
          </w:tcPr>
          <w:p w14:paraId="0D6BD752"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GHSL settlement classes can help stratify settlement intensity, but they do not identify local informality or poverty.</w:t>
            </w:r>
          </w:p>
        </w:tc>
      </w:tr>
      <w:tr w:rsidR="00A37B8A" w:rsidRPr="00CD5EE5" w14:paraId="68E09662" w14:textId="77777777" w:rsidTr="005A5EBA">
        <w:trPr>
          <w:cantSplit/>
          <w:jc w:val="center"/>
        </w:trPr>
        <w:tc>
          <w:tcPr>
            <w:tcW w:w="2448" w:type="dxa"/>
          </w:tcPr>
          <w:p w14:paraId="3856836E"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Built-up vs vegetated proportion</w:t>
            </w:r>
          </w:p>
        </w:tc>
        <w:tc>
          <w:tcPr>
            <w:tcW w:w="4032" w:type="dxa"/>
          </w:tcPr>
          <w:p w14:paraId="69FCD9EA"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Physical morphology used as a socioeconomic-status proxy.</w:t>
            </w:r>
          </w:p>
        </w:tc>
        <w:tc>
          <w:tcPr>
            <w:tcW w:w="4032" w:type="dxa"/>
          </w:tcPr>
          <w:p w14:paraId="2440E6BD"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GHSL/GHSL-derived masks can support built-up density stratification; interpretation must remain cautious.</w:t>
            </w:r>
          </w:p>
        </w:tc>
      </w:tr>
      <w:tr w:rsidR="00A37B8A" w:rsidRPr="00CD5EE5" w14:paraId="40009158" w14:textId="77777777" w:rsidTr="005A5EBA">
        <w:trPr>
          <w:cantSplit/>
          <w:jc w:val="center"/>
        </w:trPr>
        <w:tc>
          <w:tcPr>
            <w:tcW w:w="2448" w:type="dxa"/>
          </w:tcPr>
          <w:p w14:paraId="0AF61083"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lastRenderedPageBreak/>
              <w:t>Facilities and services</w:t>
            </w:r>
          </w:p>
        </w:tc>
        <w:tc>
          <w:tcPr>
            <w:tcW w:w="4032" w:type="dxa"/>
          </w:tcPr>
          <w:p w14:paraId="1CE41C14"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Hospitals, schools, religious buildings, public spaces, and local facilities.</w:t>
            </w:r>
          </w:p>
        </w:tc>
        <w:tc>
          <w:tcPr>
            <w:tcW w:w="4032" w:type="dxa"/>
          </w:tcPr>
          <w:p w14:paraId="7615DE5D"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NTL may indicate lighting around service nodes but cannot prove service capacity or access.</w:t>
            </w:r>
          </w:p>
        </w:tc>
      </w:tr>
      <w:tr w:rsidR="00A37B8A" w:rsidRPr="00CD5EE5" w14:paraId="7B9FB492" w14:textId="77777777" w:rsidTr="005A5EBA">
        <w:trPr>
          <w:cantSplit/>
          <w:jc w:val="center"/>
        </w:trPr>
        <w:tc>
          <w:tcPr>
            <w:tcW w:w="2448" w:type="dxa"/>
          </w:tcPr>
          <w:p w14:paraId="70D4A4AC"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Temporary accommodation</w:t>
            </w:r>
          </w:p>
        </w:tc>
        <w:tc>
          <w:tcPr>
            <w:tcW w:w="4032" w:type="dxa"/>
          </w:tcPr>
          <w:p w14:paraId="28BE542B"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Shelter size and transition back to permanent housing.</w:t>
            </w:r>
          </w:p>
        </w:tc>
        <w:tc>
          <w:tcPr>
            <w:tcW w:w="4032" w:type="dxa"/>
          </w:tcPr>
          <w:p w14:paraId="28AFCEDD" w14:textId="77777777" w:rsidR="00A37B8A" w:rsidRPr="00CD5EE5" w:rsidRDefault="00A37B8A" w:rsidP="005A5EBA">
            <w:pPr>
              <w:rPr>
                <w:rFonts w:ascii="Arial" w:hAnsi="Arial" w:cs="Arial"/>
                <w:color w:val="000000" w:themeColor="text1"/>
                <w:sz w:val="16"/>
                <w:szCs w:val="16"/>
              </w:rPr>
            </w:pPr>
            <w:r w:rsidRPr="00CD5EE5">
              <w:rPr>
                <w:rFonts w:ascii="Arial" w:hAnsi="Arial" w:cs="Arial"/>
                <w:color w:val="000000" w:themeColor="text1"/>
                <w:sz w:val="16"/>
                <w:szCs w:val="16"/>
              </w:rPr>
              <w:t xml:space="preserve">NTL may detect lit camps or relocation </w:t>
            </w:r>
            <w:proofErr w:type="gramStart"/>
            <w:r w:rsidRPr="00CD5EE5">
              <w:rPr>
                <w:rFonts w:ascii="Arial" w:hAnsi="Arial" w:cs="Arial"/>
                <w:color w:val="000000" w:themeColor="text1"/>
                <w:sz w:val="16"/>
                <w:szCs w:val="16"/>
              </w:rPr>
              <w:t>sites, but</w:t>
            </w:r>
            <w:proofErr w:type="gramEnd"/>
            <w:r w:rsidRPr="00CD5EE5">
              <w:rPr>
                <w:rFonts w:ascii="Arial" w:hAnsi="Arial" w:cs="Arial"/>
                <w:color w:val="000000" w:themeColor="text1"/>
                <w:sz w:val="16"/>
                <w:szCs w:val="16"/>
              </w:rPr>
              <w:t xml:space="preserve"> cannot infer household satisfaction or permanence.</w:t>
            </w:r>
          </w:p>
        </w:tc>
      </w:tr>
    </w:tbl>
    <w:p w14:paraId="38DF3F66" w14:textId="77777777" w:rsidR="00A37B8A" w:rsidRPr="00D87CEC" w:rsidRDefault="00A37B8A" w:rsidP="00A37B8A">
      <w:pPr>
        <w:rPr>
          <w:rFonts w:ascii="Arial" w:hAnsi="Arial" w:cs="Arial"/>
          <w:color w:val="000000" w:themeColor="text1"/>
          <w:sz w:val="20"/>
          <w:szCs w:val="20"/>
        </w:rPr>
      </w:pPr>
    </w:p>
    <w:p w14:paraId="678FF75B" w14:textId="77777777" w:rsidR="00A37B8A" w:rsidRPr="009B362E" w:rsidRDefault="00A37B8A" w:rsidP="00A37B8A">
      <w:pPr>
        <w:pStyle w:val="Heading2"/>
        <w:rPr>
          <w:rFonts w:ascii="Arial" w:hAnsi="Arial" w:cs="Arial"/>
          <w:b/>
          <w:bCs/>
          <w:color w:val="000000" w:themeColor="text1"/>
          <w:sz w:val="20"/>
          <w:szCs w:val="20"/>
        </w:rPr>
      </w:pPr>
      <w:bookmarkStart w:id="11" w:name="_Toc234318910"/>
      <w:r w:rsidRPr="009B362E">
        <w:rPr>
          <w:rFonts w:ascii="Arial" w:hAnsi="Arial" w:cs="Arial"/>
          <w:b/>
          <w:bCs/>
          <w:color w:val="000000" w:themeColor="text1"/>
          <w:sz w:val="20"/>
          <w:szCs w:val="20"/>
        </w:rPr>
        <w:t>2.6 Natural proxies and limits of nighttime lights</w:t>
      </w:r>
      <w:bookmarkEnd w:id="11"/>
    </w:p>
    <w:p w14:paraId="19114CF5"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Chapter 2 treats vegetation cover, vegetation type, land cover, floodwater/debris removal, green space, GPP, and permeability as natural-environment proxies. These are essential for understanding environmental recovery, but they are mostly outside what NTL can observe. In Haiyan-type contexts, NTL may recover while coconut plantations, mangroves, croplands, or ecological buffers remain damaged. Therefore, NTL recovery and natural recovery should be treated as different outcome layers.</w:t>
      </w:r>
    </w:p>
    <w:p w14:paraId="47C1FFE3" w14:textId="77777777" w:rsidR="00A37B8A" w:rsidRPr="009B362E" w:rsidRDefault="00A37B8A" w:rsidP="00A37B8A">
      <w:pPr>
        <w:pStyle w:val="Heading2"/>
        <w:rPr>
          <w:rFonts w:ascii="Arial" w:hAnsi="Arial" w:cs="Arial"/>
          <w:b/>
          <w:bCs/>
          <w:color w:val="000000" w:themeColor="text1"/>
          <w:sz w:val="20"/>
          <w:szCs w:val="20"/>
        </w:rPr>
      </w:pPr>
      <w:bookmarkStart w:id="12" w:name="_Toc234318911"/>
      <w:r w:rsidRPr="009B362E">
        <w:rPr>
          <w:rFonts w:ascii="Arial" w:hAnsi="Arial" w:cs="Arial"/>
          <w:b/>
          <w:bCs/>
          <w:color w:val="000000" w:themeColor="text1"/>
          <w:sz w:val="20"/>
          <w:szCs w:val="20"/>
        </w:rPr>
        <w:t>2.7 Chapter 2 critique: why proxy reliability matters</w:t>
      </w:r>
      <w:bookmarkEnd w:id="12"/>
    </w:p>
    <w:tbl>
      <w:tblPr>
        <w:tblStyle w:val="TableGrid"/>
        <w:tblW w:w="0" w:type="auto"/>
        <w:jc w:val="center"/>
        <w:tblLook w:val="04A0" w:firstRow="1" w:lastRow="0" w:firstColumn="1" w:lastColumn="0" w:noHBand="0" w:noVBand="1"/>
      </w:tblPr>
      <w:tblGrid>
        <w:gridCol w:w="2161"/>
        <w:gridCol w:w="3377"/>
        <w:gridCol w:w="3478"/>
      </w:tblGrid>
      <w:tr w:rsidR="00A37B8A" w:rsidRPr="00A644E5" w14:paraId="13EFED85" w14:textId="77777777" w:rsidTr="005A5EBA">
        <w:trPr>
          <w:cantSplit/>
          <w:tblHeader/>
          <w:jc w:val="center"/>
        </w:trPr>
        <w:tc>
          <w:tcPr>
            <w:tcW w:w="2448" w:type="dxa"/>
            <w:shd w:val="clear" w:color="auto" w:fill="D9EAF7"/>
          </w:tcPr>
          <w:p w14:paraId="788279BC" w14:textId="77777777" w:rsidR="00A37B8A" w:rsidRPr="00A644E5" w:rsidRDefault="00A37B8A" w:rsidP="005A5EBA">
            <w:pPr>
              <w:rPr>
                <w:rFonts w:ascii="Arial" w:hAnsi="Arial" w:cs="Arial"/>
                <w:color w:val="000000" w:themeColor="text1"/>
                <w:sz w:val="16"/>
                <w:szCs w:val="16"/>
              </w:rPr>
            </w:pPr>
            <w:r w:rsidRPr="00A644E5">
              <w:rPr>
                <w:rFonts w:ascii="Arial" w:hAnsi="Arial" w:cs="Arial"/>
                <w:b/>
                <w:color w:val="000000" w:themeColor="text1"/>
                <w:sz w:val="16"/>
                <w:szCs w:val="16"/>
              </w:rPr>
              <w:t>Limitation in Chapter 2</w:t>
            </w:r>
          </w:p>
        </w:tc>
        <w:tc>
          <w:tcPr>
            <w:tcW w:w="3960" w:type="dxa"/>
            <w:shd w:val="clear" w:color="auto" w:fill="D9EAF7"/>
          </w:tcPr>
          <w:p w14:paraId="40850C12" w14:textId="77777777" w:rsidR="00A37B8A" w:rsidRPr="00A644E5" w:rsidRDefault="00A37B8A" w:rsidP="005A5EBA">
            <w:pPr>
              <w:rPr>
                <w:rFonts w:ascii="Arial" w:hAnsi="Arial" w:cs="Arial"/>
                <w:color w:val="000000" w:themeColor="text1"/>
                <w:sz w:val="16"/>
                <w:szCs w:val="16"/>
              </w:rPr>
            </w:pPr>
            <w:r w:rsidRPr="00A644E5">
              <w:rPr>
                <w:rFonts w:ascii="Arial" w:hAnsi="Arial" w:cs="Arial"/>
                <w:b/>
                <w:color w:val="000000" w:themeColor="text1"/>
                <w:sz w:val="16"/>
                <w:szCs w:val="16"/>
              </w:rPr>
              <w:t>Meaning</w:t>
            </w:r>
          </w:p>
        </w:tc>
        <w:tc>
          <w:tcPr>
            <w:tcW w:w="3960" w:type="dxa"/>
            <w:shd w:val="clear" w:color="auto" w:fill="D9EAF7"/>
          </w:tcPr>
          <w:p w14:paraId="4B2CE23C" w14:textId="77777777" w:rsidR="00A37B8A" w:rsidRPr="00A644E5" w:rsidRDefault="00A37B8A" w:rsidP="005A5EBA">
            <w:pPr>
              <w:rPr>
                <w:rFonts w:ascii="Arial" w:hAnsi="Arial" w:cs="Arial"/>
                <w:color w:val="000000" w:themeColor="text1"/>
                <w:sz w:val="16"/>
                <w:szCs w:val="16"/>
              </w:rPr>
            </w:pPr>
            <w:r w:rsidRPr="00A644E5">
              <w:rPr>
                <w:rFonts w:ascii="Arial" w:hAnsi="Arial" w:cs="Arial"/>
                <w:b/>
                <w:color w:val="000000" w:themeColor="text1"/>
                <w:sz w:val="16"/>
                <w:szCs w:val="16"/>
              </w:rPr>
              <w:t>RQ2 response</w:t>
            </w:r>
          </w:p>
        </w:tc>
      </w:tr>
      <w:tr w:rsidR="00A37B8A" w:rsidRPr="00A644E5" w14:paraId="52C2E47A" w14:textId="77777777" w:rsidTr="005A5EBA">
        <w:trPr>
          <w:cantSplit/>
          <w:jc w:val="center"/>
        </w:trPr>
        <w:tc>
          <w:tcPr>
            <w:tcW w:w="2448" w:type="dxa"/>
          </w:tcPr>
          <w:p w14:paraId="7677B2FF"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Physical bias</w:t>
            </w:r>
          </w:p>
        </w:tc>
        <w:tc>
          <w:tcPr>
            <w:tcW w:w="3960" w:type="dxa"/>
          </w:tcPr>
          <w:p w14:paraId="691ADCDE" w14:textId="77777777" w:rsidR="00A37B8A" w:rsidRPr="00A644E5" w:rsidRDefault="00A37B8A" w:rsidP="005A5EBA">
            <w:pPr>
              <w:rPr>
                <w:rFonts w:ascii="Arial" w:hAnsi="Arial" w:cs="Arial"/>
                <w:color w:val="000000" w:themeColor="text1"/>
                <w:sz w:val="16"/>
                <w:szCs w:val="16"/>
              </w:rPr>
            </w:pPr>
            <w:r w:rsidRPr="00A644E5">
              <w:rPr>
                <w:rFonts w:ascii="Arial" w:hAnsi="Arial" w:cs="Arial"/>
                <w:b/>
                <w:bCs/>
                <w:color w:val="000000" w:themeColor="text1"/>
                <w:sz w:val="16"/>
                <w:szCs w:val="16"/>
              </w:rPr>
              <w:t>Most proxies address visible physical damage and reconstruction</w:t>
            </w:r>
            <w:r w:rsidRPr="00A644E5">
              <w:rPr>
                <w:rFonts w:ascii="Arial" w:hAnsi="Arial" w:cs="Arial"/>
                <w:color w:val="000000" w:themeColor="text1"/>
                <w:sz w:val="16"/>
                <w:szCs w:val="16"/>
              </w:rPr>
              <w:t xml:space="preserve">; fewer assess </w:t>
            </w:r>
            <w:r w:rsidRPr="00A644E5">
              <w:rPr>
                <w:rFonts w:ascii="Arial" w:hAnsi="Arial" w:cs="Arial"/>
                <w:b/>
                <w:bCs/>
                <w:color w:val="000000" w:themeColor="text1"/>
                <w:sz w:val="16"/>
                <w:szCs w:val="16"/>
              </w:rPr>
              <w:t>economic, social, or functional recovery.</w:t>
            </w:r>
          </w:p>
        </w:tc>
        <w:tc>
          <w:tcPr>
            <w:tcW w:w="3960" w:type="dxa"/>
          </w:tcPr>
          <w:p w14:paraId="469810A2" w14:textId="77777777" w:rsidR="00A37B8A" w:rsidRPr="00A644E5" w:rsidRDefault="00A37B8A" w:rsidP="005A5EBA">
            <w:pPr>
              <w:rPr>
                <w:rFonts w:ascii="Arial" w:hAnsi="Arial" w:cs="Arial"/>
                <w:color w:val="000000" w:themeColor="text1"/>
                <w:sz w:val="16"/>
                <w:szCs w:val="16"/>
              </w:rPr>
            </w:pPr>
            <w:r w:rsidRPr="00A644E5">
              <w:rPr>
                <w:rFonts w:ascii="Arial" w:hAnsi="Arial" w:cs="Arial"/>
                <w:b/>
                <w:bCs/>
                <w:color w:val="000000" w:themeColor="text1"/>
                <w:sz w:val="16"/>
                <w:szCs w:val="16"/>
              </w:rPr>
              <w:t>Position NTL as a functional/electricity-mediated proxy</w:t>
            </w:r>
            <w:r w:rsidRPr="00A644E5">
              <w:rPr>
                <w:rFonts w:ascii="Arial" w:hAnsi="Arial" w:cs="Arial"/>
                <w:color w:val="000000" w:themeColor="text1"/>
                <w:sz w:val="16"/>
                <w:szCs w:val="16"/>
              </w:rPr>
              <w:t>, not another structural proxy.</w:t>
            </w:r>
          </w:p>
        </w:tc>
      </w:tr>
      <w:tr w:rsidR="00A37B8A" w:rsidRPr="00A644E5" w14:paraId="6E88E50E" w14:textId="77777777" w:rsidTr="005A5EBA">
        <w:trPr>
          <w:cantSplit/>
          <w:jc w:val="center"/>
        </w:trPr>
        <w:tc>
          <w:tcPr>
            <w:tcW w:w="2448" w:type="dxa"/>
          </w:tcPr>
          <w:p w14:paraId="19C3FD0E"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Terminology inconsistency</w:t>
            </w:r>
          </w:p>
        </w:tc>
        <w:tc>
          <w:tcPr>
            <w:tcW w:w="3960" w:type="dxa"/>
          </w:tcPr>
          <w:p w14:paraId="0ECFC8AC"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Proxy, index, and indicator are used inconsistently across the literature.</w:t>
            </w:r>
          </w:p>
        </w:tc>
        <w:tc>
          <w:tcPr>
            <w:tcW w:w="3960" w:type="dxa"/>
          </w:tcPr>
          <w:p w14:paraId="54522601"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Define NTL variables explicitly as observed radiance metrics, not vague recovery indices.</w:t>
            </w:r>
          </w:p>
        </w:tc>
      </w:tr>
      <w:tr w:rsidR="00A37B8A" w:rsidRPr="00A644E5" w14:paraId="7D629495" w14:textId="77777777" w:rsidTr="005A5EBA">
        <w:trPr>
          <w:cantSplit/>
          <w:jc w:val="center"/>
        </w:trPr>
        <w:tc>
          <w:tcPr>
            <w:tcW w:w="2448" w:type="dxa"/>
          </w:tcPr>
          <w:p w14:paraId="14C82B1F"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Weak single proxies</w:t>
            </w:r>
          </w:p>
        </w:tc>
        <w:tc>
          <w:tcPr>
            <w:tcW w:w="3960" w:type="dxa"/>
          </w:tcPr>
          <w:p w14:paraId="5E2B006D"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Examples such as vehicle presence are acquisition-time dependent and can be unreliable alone.</w:t>
            </w:r>
          </w:p>
        </w:tc>
        <w:tc>
          <w:tcPr>
            <w:tcW w:w="3960" w:type="dxa"/>
          </w:tcPr>
          <w:p w14:paraId="32BC5055"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Use multiple checks: DNB-BRDF, valid-pixel coverage, GHSL masks, extent sensitivity, and gap-filled diagnostic comparison.</w:t>
            </w:r>
          </w:p>
        </w:tc>
      </w:tr>
      <w:tr w:rsidR="00A37B8A" w:rsidRPr="00A644E5" w14:paraId="5DE6DB9E" w14:textId="77777777" w:rsidTr="005A5EBA">
        <w:trPr>
          <w:cantSplit/>
          <w:jc w:val="center"/>
        </w:trPr>
        <w:tc>
          <w:tcPr>
            <w:tcW w:w="2448" w:type="dxa"/>
          </w:tcPr>
          <w:p w14:paraId="49EB11D0"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Resilience under-studied</w:t>
            </w:r>
          </w:p>
        </w:tc>
        <w:tc>
          <w:tcPr>
            <w:tcW w:w="3960" w:type="dxa"/>
          </w:tcPr>
          <w:p w14:paraId="5A1731CD" w14:textId="77777777" w:rsidR="00A37B8A" w:rsidRPr="00F060F9" w:rsidRDefault="00A37B8A" w:rsidP="005A5EBA">
            <w:pPr>
              <w:rPr>
                <w:rFonts w:ascii="Arial" w:hAnsi="Arial" w:cs="Arial"/>
                <w:b/>
                <w:bCs/>
                <w:color w:val="000000" w:themeColor="text1"/>
                <w:sz w:val="16"/>
                <w:szCs w:val="16"/>
              </w:rPr>
            </w:pPr>
            <w:r w:rsidRPr="00F060F9">
              <w:rPr>
                <w:rFonts w:ascii="Arial" w:hAnsi="Arial" w:cs="Arial"/>
                <w:b/>
                <w:bCs/>
                <w:color w:val="000000" w:themeColor="text1"/>
                <w:sz w:val="16"/>
                <w:szCs w:val="16"/>
              </w:rPr>
              <w:t>Only a small subset of reviewed studies directly addresses resilience.</w:t>
            </w:r>
          </w:p>
        </w:tc>
        <w:tc>
          <w:tcPr>
            <w:tcW w:w="3960" w:type="dxa"/>
          </w:tcPr>
          <w:p w14:paraId="46DE6C20"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Avoid overclaiming resilience from NTL; use recovery metrics as evidence consistent with resilience only when supported by context.</w:t>
            </w:r>
          </w:p>
        </w:tc>
      </w:tr>
      <w:tr w:rsidR="00A37B8A" w:rsidRPr="00A644E5" w14:paraId="3BEA8304" w14:textId="77777777" w:rsidTr="005A5EBA">
        <w:trPr>
          <w:cantSplit/>
          <w:jc w:val="center"/>
        </w:trPr>
        <w:tc>
          <w:tcPr>
            <w:tcW w:w="2448" w:type="dxa"/>
          </w:tcPr>
          <w:p w14:paraId="7C842DFD"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Functional gap</w:t>
            </w:r>
          </w:p>
        </w:tc>
        <w:tc>
          <w:tcPr>
            <w:tcW w:w="3960" w:type="dxa"/>
          </w:tcPr>
          <w:p w14:paraId="75E52AD5" w14:textId="77777777" w:rsidR="00A37B8A" w:rsidRPr="00F060F9" w:rsidRDefault="00A37B8A" w:rsidP="005A5EBA">
            <w:pPr>
              <w:rPr>
                <w:rFonts w:ascii="Arial" w:hAnsi="Arial" w:cs="Arial"/>
                <w:b/>
                <w:bCs/>
                <w:color w:val="000000" w:themeColor="text1"/>
                <w:sz w:val="16"/>
                <w:szCs w:val="16"/>
              </w:rPr>
            </w:pPr>
            <w:r w:rsidRPr="00F060F9">
              <w:rPr>
                <w:rFonts w:ascii="Arial" w:hAnsi="Arial" w:cs="Arial"/>
                <w:b/>
                <w:bCs/>
                <w:color w:val="000000" w:themeColor="text1"/>
                <w:sz w:val="16"/>
                <w:szCs w:val="16"/>
              </w:rPr>
              <w:t>Buildings may be reconstructed but not functioning.</w:t>
            </w:r>
          </w:p>
        </w:tc>
        <w:tc>
          <w:tcPr>
            <w:tcW w:w="3960" w:type="dxa"/>
          </w:tcPr>
          <w:p w14:paraId="73A92B2E" w14:textId="77777777" w:rsidR="00A37B8A" w:rsidRPr="00A644E5" w:rsidRDefault="00A37B8A" w:rsidP="005A5EBA">
            <w:pPr>
              <w:rPr>
                <w:rFonts w:ascii="Arial" w:hAnsi="Arial" w:cs="Arial"/>
                <w:color w:val="000000" w:themeColor="text1"/>
                <w:sz w:val="16"/>
                <w:szCs w:val="16"/>
              </w:rPr>
            </w:pPr>
            <w:r w:rsidRPr="00A644E5">
              <w:rPr>
                <w:rFonts w:ascii="Arial" w:hAnsi="Arial" w:cs="Arial"/>
                <w:color w:val="000000" w:themeColor="text1"/>
                <w:sz w:val="16"/>
                <w:szCs w:val="16"/>
              </w:rPr>
              <w:t>NTL can help fill this gap, especially for electricity restoration and night activity, but remains partial.</w:t>
            </w:r>
          </w:p>
        </w:tc>
      </w:tr>
    </w:tbl>
    <w:p w14:paraId="2EB0FB4F" w14:textId="77777777" w:rsidR="00A37B8A" w:rsidRDefault="00A37B8A" w:rsidP="00A37B8A">
      <w:pPr>
        <w:rPr>
          <w:rFonts w:ascii="Arial" w:hAnsi="Arial" w:cs="Arial"/>
          <w:color w:val="000000" w:themeColor="text1"/>
          <w:sz w:val="20"/>
          <w:szCs w:val="20"/>
        </w:rPr>
      </w:pPr>
    </w:p>
    <w:p w14:paraId="29F8136E" w14:textId="77777777" w:rsidR="00F060F9" w:rsidRDefault="00F060F9" w:rsidP="00A37B8A">
      <w:pPr>
        <w:rPr>
          <w:rFonts w:ascii="Arial" w:hAnsi="Arial" w:cs="Arial"/>
          <w:color w:val="000000" w:themeColor="text1"/>
          <w:sz w:val="20"/>
          <w:szCs w:val="20"/>
        </w:rPr>
      </w:pPr>
    </w:p>
    <w:p w14:paraId="1531224E" w14:textId="77777777" w:rsidR="00F060F9" w:rsidRDefault="00F060F9" w:rsidP="00A37B8A">
      <w:pPr>
        <w:rPr>
          <w:rFonts w:ascii="Arial" w:hAnsi="Arial" w:cs="Arial"/>
          <w:color w:val="000000" w:themeColor="text1"/>
          <w:sz w:val="20"/>
          <w:szCs w:val="20"/>
        </w:rPr>
      </w:pPr>
    </w:p>
    <w:p w14:paraId="086EA829" w14:textId="77777777" w:rsidR="00F060F9" w:rsidRDefault="00F060F9" w:rsidP="00A37B8A">
      <w:pPr>
        <w:rPr>
          <w:rFonts w:ascii="Arial" w:hAnsi="Arial" w:cs="Arial"/>
          <w:color w:val="000000" w:themeColor="text1"/>
          <w:sz w:val="20"/>
          <w:szCs w:val="20"/>
        </w:rPr>
      </w:pPr>
    </w:p>
    <w:p w14:paraId="0CA05117" w14:textId="77777777" w:rsidR="00F060F9" w:rsidRDefault="00F060F9" w:rsidP="00A37B8A">
      <w:pPr>
        <w:rPr>
          <w:rFonts w:ascii="Arial" w:hAnsi="Arial" w:cs="Arial"/>
          <w:color w:val="000000" w:themeColor="text1"/>
          <w:sz w:val="20"/>
          <w:szCs w:val="20"/>
        </w:rPr>
      </w:pPr>
    </w:p>
    <w:p w14:paraId="3A67797A" w14:textId="77777777" w:rsidR="00F060F9" w:rsidRDefault="00F060F9" w:rsidP="00A37B8A">
      <w:pPr>
        <w:rPr>
          <w:rFonts w:ascii="Arial" w:hAnsi="Arial" w:cs="Arial"/>
          <w:color w:val="000000" w:themeColor="text1"/>
          <w:sz w:val="20"/>
          <w:szCs w:val="20"/>
        </w:rPr>
      </w:pPr>
    </w:p>
    <w:p w14:paraId="41E277D8" w14:textId="77777777" w:rsidR="00F060F9" w:rsidRPr="00D87CEC" w:rsidRDefault="00F060F9" w:rsidP="00A37B8A">
      <w:pPr>
        <w:rPr>
          <w:rFonts w:ascii="Arial" w:hAnsi="Arial" w:cs="Arial"/>
          <w:color w:val="000000" w:themeColor="text1"/>
          <w:sz w:val="20"/>
          <w:szCs w:val="20"/>
        </w:rPr>
      </w:pPr>
    </w:p>
    <w:p w14:paraId="56A5CAC8" w14:textId="77777777" w:rsidR="00A37B8A" w:rsidRPr="00F060F9" w:rsidRDefault="00A37B8A" w:rsidP="00A37B8A">
      <w:pPr>
        <w:pStyle w:val="Heading1"/>
        <w:rPr>
          <w:rFonts w:ascii="Arial" w:hAnsi="Arial" w:cs="Arial"/>
          <w:b/>
          <w:bCs/>
          <w:color w:val="000000" w:themeColor="text1"/>
          <w:sz w:val="24"/>
          <w:szCs w:val="24"/>
        </w:rPr>
      </w:pPr>
      <w:bookmarkStart w:id="13" w:name="_Toc234318912"/>
      <w:r w:rsidRPr="00F060F9">
        <w:rPr>
          <w:rFonts w:ascii="Arial" w:hAnsi="Arial" w:cs="Arial"/>
          <w:b/>
          <w:bCs/>
          <w:color w:val="000000" w:themeColor="text1"/>
          <w:sz w:val="24"/>
          <w:szCs w:val="24"/>
        </w:rPr>
        <w:t>3. Chapter 3 review: conceptual framework and multi-temporal recovery assessment</w:t>
      </w:r>
      <w:bookmarkEnd w:id="13"/>
    </w:p>
    <w:p w14:paraId="316146A1"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 xml:space="preserve">Chapter 3 operationalizes the proxy framework using very high-resolution satellite imagery over Haiyan-affected municipalities in the central Philippines. The chapter links post-disaster recovery assessment, resilience assessment, and intervention impact evaluation. Its working hypothesis is that </w:t>
      </w:r>
      <w:r w:rsidRPr="002C7FDB">
        <w:rPr>
          <w:rFonts w:ascii="Arial" w:hAnsi="Arial" w:cs="Arial"/>
          <w:b/>
          <w:bCs/>
          <w:color w:val="000000" w:themeColor="text1"/>
          <w:sz w:val="20"/>
          <w:szCs w:val="20"/>
        </w:rPr>
        <w:t>resilience-enhancing interventions should result in less damage or quicker recovery, although the results do not confirm this simple assumption</w:t>
      </w:r>
      <w:r w:rsidRPr="00D87CEC">
        <w:rPr>
          <w:rFonts w:ascii="Arial" w:hAnsi="Arial" w:cs="Arial"/>
          <w:color w:val="000000" w:themeColor="text1"/>
          <w:sz w:val="20"/>
          <w:szCs w:val="20"/>
        </w:rPr>
        <w:t xml:space="preserve"> (Kerle et al., 2018; Lech et al., 2020;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2020).</w:t>
      </w:r>
    </w:p>
    <w:p w14:paraId="7BDF5E82" w14:textId="77777777" w:rsidR="00A37B8A" w:rsidRPr="00746FE9" w:rsidRDefault="00A37B8A" w:rsidP="00A37B8A">
      <w:pPr>
        <w:pStyle w:val="Heading2"/>
        <w:rPr>
          <w:rFonts w:ascii="Arial" w:hAnsi="Arial" w:cs="Arial"/>
          <w:b/>
          <w:bCs/>
          <w:color w:val="000000" w:themeColor="text1"/>
          <w:sz w:val="20"/>
          <w:szCs w:val="20"/>
        </w:rPr>
      </w:pPr>
      <w:bookmarkStart w:id="14" w:name="_Toc234318913"/>
      <w:r w:rsidRPr="00746FE9">
        <w:rPr>
          <w:rFonts w:ascii="Arial" w:hAnsi="Arial" w:cs="Arial"/>
          <w:b/>
          <w:bCs/>
          <w:color w:val="000000" w:themeColor="text1"/>
          <w:sz w:val="20"/>
          <w:szCs w:val="20"/>
        </w:rPr>
        <w:t>3.1 Study design and conceptual model</w:t>
      </w:r>
      <w:bookmarkEnd w:id="14"/>
    </w:p>
    <w:tbl>
      <w:tblPr>
        <w:tblStyle w:val="TableGrid"/>
        <w:tblW w:w="0" w:type="auto"/>
        <w:jc w:val="center"/>
        <w:tblLook w:val="04A0" w:firstRow="1" w:lastRow="0" w:firstColumn="1" w:lastColumn="0" w:noHBand="0" w:noVBand="1"/>
      </w:tblPr>
      <w:tblGrid>
        <w:gridCol w:w="2381"/>
        <w:gridCol w:w="6635"/>
      </w:tblGrid>
      <w:tr w:rsidR="00A37B8A" w:rsidRPr="00746FE9" w14:paraId="083DBA8E" w14:textId="77777777" w:rsidTr="005A5EBA">
        <w:trPr>
          <w:cantSplit/>
          <w:tblHeader/>
          <w:jc w:val="center"/>
        </w:trPr>
        <w:tc>
          <w:tcPr>
            <w:tcW w:w="2664" w:type="dxa"/>
            <w:shd w:val="clear" w:color="auto" w:fill="D9EAF7"/>
          </w:tcPr>
          <w:p w14:paraId="4339A121" w14:textId="77777777" w:rsidR="00A37B8A" w:rsidRPr="00746FE9" w:rsidRDefault="00A37B8A" w:rsidP="005A5EBA">
            <w:pPr>
              <w:rPr>
                <w:rFonts w:ascii="Arial" w:hAnsi="Arial" w:cs="Arial"/>
                <w:color w:val="000000" w:themeColor="text1"/>
                <w:sz w:val="16"/>
                <w:szCs w:val="16"/>
              </w:rPr>
            </w:pPr>
            <w:r w:rsidRPr="00746FE9">
              <w:rPr>
                <w:rFonts w:ascii="Arial" w:hAnsi="Arial" w:cs="Arial"/>
                <w:b/>
                <w:color w:val="000000" w:themeColor="text1"/>
                <w:sz w:val="16"/>
                <w:szCs w:val="16"/>
              </w:rPr>
              <w:t>Design component</w:t>
            </w:r>
          </w:p>
        </w:tc>
        <w:tc>
          <w:tcPr>
            <w:tcW w:w="7776" w:type="dxa"/>
            <w:shd w:val="clear" w:color="auto" w:fill="D9EAF7"/>
          </w:tcPr>
          <w:p w14:paraId="14E74B3A" w14:textId="77777777" w:rsidR="00A37B8A" w:rsidRPr="00746FE9" w:rsidRDefault="00A37B8A" w:rsidP="005A5EBA">
            <w:pPr>
              <w:rPr>
                <w:rFonts w:ascii="Arial" w:hAnsi="Arial" w:cs="Arial"/>
                <w:color w:val="000000" w:themeColor="text1"/>
                <w:sz w:val="16"/>
                <w:szCs w:val="16"/>
              </w:rPr>
            </w:pPr>
            <w:r w:rsidRPr="00746FE9">
              <w:rPr>
                <w:rFonts w:ascii="Arial" w:hAnsi="Arial" w:cs="Arial"/>
                <w:b/>
                <w:color w:val="000000" w:themeColor="text1"/>
                <w:sz w:val="16"/>
                <w:szCs w:val="16"/>
              </w:rPr>
              <w:t>Chapter 3 implementation</w:t>
            </w:r>
          </w:p>
        </w:tc>
      </w:tr>
      <w:tr w:rsidR="00A37B8A" w:rsidRPr="00746FE9" w14:paraId="780EFB95" w14:textId="77777777" w:rsidTr="005A5EBA">
        <w:trPr>
          <w:cantSplit/>
          <w:jc w:val="center"/>
        </w:trPr>
        <w:tc>
          <w:tcPr>
            <w:tcW w:w="2664" w:type="dxa"/>
          </w:tcPr>
          <w:p w14:paraId="432A7BD4"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Core objective</w:t>
            </w:r>
          </w:p>
        </w:tc>
        <w:tc>
          <w:tcPr>
            <w:tcW w:w="7776" w:type="dxa"/>
          </w:tcPr>
          <w:p w14:paraId="4FDD4E3B"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 xml:space="preserve">Assess post-disaster recovery through image-derived built-up, economic, and social proxies, then </w:t>
            </w:r>
            <w:r w:rsidRPr="00607EE5">
              <w:rPr>
                <w:rFonts w:ascii="Arial" w:hAnsi="Arial" w:cs="Arial"/>
                <w:b/>
                <w:bCs/>
                <w:color w:val="EE0000"/>
                <w:sz w:val="16"/>
                <w:szCs w:val="16"/>
              </w:rPr>
              <w:t>connect spatial recovery patterns to resilience and intervention impact evaluation.</w:t>
            </w:r>
          </w:p>
        </w:tc>
      </w:tr>
      <w:tr w:rsidR="00A37B8A" w:rsidRPr="00746FE9" w14:paraId="30583069" w14:textId="77777777" w:rsidTr="005A5EBA">
        <w:trPr>
          <w:cantSplit/>
          <w:jc w:val="center"/>
        </w:trPr>
        <w:tc>
          <w:tcPr>
            <w:tcW w:w="2664" w:type="dxa"/>
          </w:tcPr>
          <w:p w14:paraId="71D66E46"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lastRenderedPageBreak/>
              <w:t>Study event</w:t>
            </w:r>
          </w:p>
        </w:tc>
        <w:tc>
          <w:tcPr>
            <w:tcW w:w="7776" w:type="dxa"/>
          </w:tcPr>
          <w:p w14:paraId="4A5169E4"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Typhoon Haiyan/Yolanda, 8 November 2013, affecting Samar and Leyte; Tacloban and nearby municipalities were heavily damaged.</w:t>
            </w:r>
          </w:p>
        </w:tc>
      </w:tr>
      <w:tr w:rsidR="00A37B8A" w:rsidRPr="00746FE9" w14:paraId="2D38D631" w14:textId="77777777" w:rsidTr="005A5EBA">
        <w:trPr>
          <w:cantSplit/>
          <w:jc w:val="center"/>
        </w:trPr>
        <w:tc>
          <w:tcPr>
            <w:tcW w:w="2664" w:type="dxa"/>
          </w:tcPr>
          <w:p w14:paraId="42460B27"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Temporal design</w:t>
            </w:r>
          </w:p>
        </w:tc>
        <w:tc>
          <w:tcPr>
            <w:tcW w:w="7776" w:type="dxa"/>
          </w:tcPr>
          <w:p w14:paraId="1426BD4C"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 xml:space="preserve">Four epochs: T0 pre-disaster, T1 shortly after Haiyan, T2 about two years after, and T3 about three years after. For Tacloban examples, </w:t>
            </w:r>
            <w:r w:rsidRPr="00607EE5">
              <w:rPr>
                <w:rFonts w:ascii="Arial" w:hAnsi="Arial" w:cs="Arial"/>
                <w:b/>
                <w:bCs/>
                <w:color w:val="000000" w:themeColor="text1"/>
                <w:sz w:val="16"/>
                <w:szCs w:val="16"/>
              </w:rPr>
              <w:t>WorldView2 and GeoEye1 imagery are used.</w:t>
            </w:r>
          </w:p>
        </w:tc>
      </w:tr>
      <w:tr w:rsidR="00A37B8A" w:rsidRPr="00746FE9" w14:paraId="356C97D9" w14:textId="77777777" w:rsidTr="005A5EBA">
        <w:trPr>
          <w:cantSplit/>
          <w:jc w:val="center"/>
        </w:trPr>
        <w:tc>
          <w:tcPr>
            <w:tcW w:w="2664" w:type="dxa"/>
          </w:tcPr>
          <w:p w14:paraId="787DD783"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Spatial design</w:t>
            </w:r>
          </w:p>
        </w:tc>
        <w:tc>
          <w:tcPr>
            <w:tcW w:w="7776" w:type="dxa"/>
          </w:tcPr>
          <w:p w14:paraId="0EC1A1E5"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Seven municipalities and 13-18 barangays are analyzed, with Barangay 69 in Tacloban used to explain the workflow and visualize results.</w:t>
            </w:r>
          </w:p>
        </w:tc>
      </w:tr>
      <w:tr w:rsidR="00A37B8A" w:rsidRPr="00746FE9" w14:paraId="5AC717F5" w14:textId="77777777" w:rsidTr="005A5EBA">
        <w:trPr>
          <w:cantSplit/>
          <w:jc w:val="center"/>
        </w:trPr>
        <w:tc>
          <w:tcPr>
            <w:tcW w:w="2664" w:type="dxa"/>
          </w:tcPr>
          <w:p w14:paraId="220A2884" w14:textId="77777777" w:rsidR="00A37B8A" w:rsidRPr="00746FE9" w:rsidRDefault="00A37B8A" w:rsidP="005A5EBA">
            <w:pPr>
              <w:rPr>
                <w:rFonts w:ascii="Arial" w:hAnsi="Arial" w:cs="Arial"/>
                <w:color w:val="000000" w:themeColor="text1"/>
                <w:sz w:val="16"/>
                <w:szCs w:val="16"/>
              </w:rPr>
            </w:pPr>
            <w:r w:rsidRPr="00746FE9">
              <w:rPr>
                <w:rFonts w:ascii="Arial" w:hAnsi="Arial" w:cs="Arial"/>
                <w:color w:val="000000" w:themeColor="text1"/>
                <w:sz w:val="16"/>
                <w:szCs w:val="16"/>
              </w:rPr>
              <w:t>Interpretive assumption</w:t>
            </w:r>
          </w:p>
        </w:tc>
        <w:tc>
          <w:tcPr>
            <w:tcW w:w="7776" w:type="dxa"/>
          </w:tcPr>
          <w:p w14:paraId="7AC10AC5" w14:textId="77777777" w:rsidR="00A37B8A" w:rsidRPr="00746FE9" w:rsidRDefault="00A37B8A" w:rsidP="005A5EBA">
            <w:pPr>
              <w:rPr>
                <w:rFonts w:ascii="Arial" w:hAnsi="Arial" w:cs="Arial"/>
                <w:color w:val="000000" w:themeColor="text1"/>
                <w:sz w:val="16"/>
                <w:szCs w:val="16"/>
              </w:rPr>
            </w:pPr>
            <w:r w:rsidRPr="008171A4">
              <w:rPr>
                <w:rFonts w:ascii="Arial" w:hAnsi="Arial" w:cs="Arial"/>
                <w:b/>
                <w:bCs/>
                <w:color w:val="000000" w:themeColor="text1"/>
                <w:sz w:val="16"/>
                <w:szCs w:val="16"/>
              </w:rPr>
              <w:t>Spatially variable recovery performance is treated as a proxy for underlying resilience,</w:t>
            </w:r>
            <w:r w:rsidRPr="00746FE9">
              <w:rPr>
                <w:rFonts w:ascii="Arial" w:hAnsi="Arial" w:cs="Arial"/>
                <w:color w:val="000000" w:themeColor="text1"/>
                <w:sz w:val="16"/>
                <w:szCs w:val="16"/>
              </w:rPr>
              <w:t xml:space="preserve"> but the chapter later shows that this assumption is not straightforward.</w:t>
            </w:r>
          </w:p>
        </w:tc>
      </w:tr>
    </w:tbl>
    <w:p w14:paraId="22EEFD87" w14:textId="77777777" w:rsidR="00A37B8A" w:rsidRPr="00D87CEC" w:rsidRDefault="00A37B8A" w:rsidP="00A37B8A">
      <w:pPr>
        <w:rPr>
          <w:rFonts w:ascii="Arial" w:hAnsi="Arial" w:cs="Arial"/>
          <w:color w:val="000000" w:themeColor="text1"/>
          <w:sz w:val="20"/>
          <w:szCs w:val="20"/>
        </w:rPr>
      </w:pPr>
    </w:p>
    <w:p w14:paraId="4580F09F" w14:textId="77777777" w:rsidR="00A37B8A" w:rsidRPr="008171A4" w:rsidRDefault="00A37B8A" w:rsidP="00A37B8A">
      <w:pPr>
        <w:pStyle w:val="Heading2"/>
        <w:rPr>
          <w:rFonts w:ascii="Arial" w:hAnsi="Arial" w:cs="Arial"/>
          <w:b/>
          <w:bCs/>
          <w:color w:val="000000" w:themeColor="text1"/>
          <w:sz w:val="20"/>
          <w:szCs w:val="20"/>
        </w:rPr>
      </w:pPr>
      <w:bookmarkStart w:id="15" w:name="_Toc234318914"/>
      <w:r w:rsidRPr="008171A4">
        <w:rPr>
          <w:rFonts w:ascii="Arial" w:hAnsi="Arial" w:cs="Arial"/>
          <w:b/>
          <w:bCs/>
          <w:color w:val="000000" w:themeColor="text1"/>
          <w:sz w:val="20"/>
          <w:szCs w:val="20"/>
        </w:rPr>
        <w:t xml:space="preserve">3.2 </w:t>
      </w:r>
      <w:proofErr w:type="gramStart"/>
      <w:r w:rsidRPr="008171A4">
        <w:rPr>
          <w:rFonts w:ascii="Arial" w:hAnsi="Arial" w:cs="Arial"/>
          <w:b/>
          <w:bCs/>
          <w:color w:val="000000" w:themeColor="text1"/>
          <w:sz w:val="20"/>
          <w:szCs w:val="20"/>
        </w:rPr>
        <w:t>Multi-temporal</w:t>
      </w:r>
      <w:proofErr w:type="gramEnd"/>
      <w:r w:rsidRPr="008171A4">
        <w:rPr>
          <w:rFonts w:ascii="Arial" w:hAnsi="Arial" w:cs="Arial"/>
          <w:b/>
          <w:bCs/>
          <w:color w:val="000000" w:themeColor="text1"/>
          <w:sz w:val="20"/>
          <w:szCs w:val="20"/>
        </w:rPr>
        <w:t xml:space="preserve"> method</w:t>
      </w:r>
      <w:bookmarkEnd w:id="15"/>
    </w:p>
    <w:p w14:paraId="7E9BCFA9"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Acquire very high-resolution images for pre-event, event, and post-event recovery epochs.</w:t>
      </w:r>
    </w:p>
    <w:p w14:paraId="3A7A86AC"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 xml:space="preserve">Improve geo-referencing through </w:t>
      </w:r>
      <w:r w:rsidRPr="006331E8">
        <w:rPr>
          <w:rFonts w:cs="Arial"/>
          <w:b/>
          <w:bCs/>
          <w:color w:val="000000" w:themeColor="text1"/>
          <w:szCs w:val="20"/>
        </w:rPr>
        <w:t>image-to-image registration because pixel-by-pixel change detection requires spatial alignment.</w:t>
      </w:r>
    </w:p>
    <w:p w14:paraId="098D4D21"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Mosaic images where multiple scenes are needed, recognizing that different seasons, acquisition dates, or off-nadir angles can introduce classification errors.</w:t>
      </w:r>
    </w:p>
    <w:p w14:paraId="0CD499E6"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Clip images to ROI or barangay boundaries.</w:t>
      </w:r>
    </w:p>
    <w:p w14:paraId="5320B4CA"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Extract spectral bands and Local Binary Pattern texture features using a 5 x 5 kernel.</w:t>
      </w:r>
    </w:p>
    <w:p w14:paraId="28C497FB"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 xml:space="preserve">Classify land cover and land use using </w:t>
      </w:r>
      <w:proofErr w:type="spellStart"/>
      <w:r w:rsidRPr="00D87CEC">
        <w:rPr>
          <w:rFonts w:cs="Arial"/>
          <w:color w:val="000000" w:themeColor="text1"/>
          <w:szCs w:val="20"/>
        </w:rPr>
        <w:t>XGBoost</w:t>
      </w:r>
      <w:proofErr w:type="spellEnd"/>
      <w:r w:rsidRPr="00D87CEC">
        <w:rPr>
          <w:rFonts w:cs="Arial"/>
          <w:color w:val="000000" w:themeColor="text1"/>
          <w:szCs w:val="20"/>
        </w:rPr>
        <w:t>, with separate training samples for LC and LU.</w:t>
      </w:r>
    </w:p>
    <w:p w14:paraId="19072F8F"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Assess accuracy using overall accuracy, user accuracy, and producer accuracy with stratified random samples.</w:t>
      </w:r>
    </w:p>
    <w:p w14:paraId="43B83D57"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Extract proxies from class area changes between T0, T1, T2, and T3; manually count small objects such as boats and vehicles where necessary.</w:t>
      </w:r>
    </w:p>
    <w:p w14:paraId="0E161BE2" w14:textId="77777777" w:rsidR="00A37B8A" w:rsidRPr="00D87CEC" w:rsidRDefault="00A37B8A" w:rsidP="00A37B8A">
      <w:pPr>
        <w:pStyle w:val="ListNumber"/>
        <w:tabs>
          <w:tab w:val="num" w:pos="360"/>
        </w:tabs>
        <w:ind w:left="360" w:hanging="360"/>
        <w:rPr>
          <w:rFonts w:cs="Arial"/>
          <w:color w:val="000000" w:themeColor="text1"/>
          <w:szCs w:val="20"/>
        </w:rPr>
      </w:pPr>
      <w:r w:rsidRPr="00D87CEC">
        <w:rPr>
          <w:rFonts w:cs="Arial"/>
          <w:color w:val="000000" w:themeColor="text1"/>
          <w:szCs w:val="20"/>
        </w:rPr>
        <w:t>Use proxy changes to infer damage at T1 and recovery at T2/T3.</w:t>
      </w:r>
    </w:p>
    <w:p w14:paraId="01386873" w14:textId="77777777" w:rsidR="00A37B8A" w:rsidRPr="00F776D1" w:rsidRDefault="00A37B8A" w:rsidP="00A37B8A">
      <w:pPr>
        <w:pStyle w:val="Heading2"/>
        <w:rPr>
          <w:rFonts w:ascii="Arial" w:hAnsi="Arial" w:cs="Arial"/>
          <w:b/>
          <w:bCs/>
          <w:color w:val="000000" w:themeColor="text1"/>
          <w:sz w:val="20"/>
          <w:szCs w:val="20"/>
        </w:rPr>
      </w:pPr>
      <w:bookmarkStart w:id="16" w:name="_Toc234318915"/>
      <w:r w:rsidRPr="00F776D1">
        <w:rPr>
          <w:rFonts w:ascii="Arial" w:hAnsi="Arial" w:cs="Arial"/>
          <w:b/>
          <w:bCs/>
          <w:color w:val="000000" w:themeColor="text1"/>
          <w:sz w:val="20"/>
          <w:szCs w:val="20"/>
        </w:rPr>
        <w:t>3.3 Proxies used in Chapter 3</w:t>
      </w:r>
      <w:bookmarkEnd w:id="16"/>
    </w:p>
    <w:tbl>
      <w:tblPr>
        <w:tblStyle w:val="TableGrid"/>
        <w:tblW w:w="0" w:type="auto"/>
        <w:jc w:val="center"/>
        <w:tblLook w:val="04A0" w:firstRow="1" w:lastRow="0" w:firstColumn="1" w:lastColumn="0" w:noHBand="0" w:noVBand="1"/>
      </w:tblPr>
      <w:tblGrid>
        <w:gridCol w:w="1838"/>
        <w:gridCol w:w="3700"/>
        <w:gridCol w:w="3478"/>
      </w:tblGrid>
      <w:tr w:rsidR="00A37B8A" w:rsidRPr="00155CB9" w14:paraId="4469B55B" w14:textId="77777777" w:rsidTr="005A5EBA">
        <w:trPr>
          <w:cantSplit/>
          <w:tblHeader/>
          <w:jc w:val="center"/>
        </w:trPr>
        <w:tc>
          <w:tcPr>
            <w:tcW w:w="2016" w:type="dxa"/>
            <w:shd w:val="clear" w:color="auto" w:fill="D9EAF7"/>
          </w:tcPr>
          <w:p w14:paraId="6C0BB1DB" w14:textId="77777777" w:rsidR="00A37B8A" w:rsidRPr="00155CB9" w:rsidRDefault="00A37B8A" w:rsidP="005A5EBA">
            <w:pPr>
              <w:rPr>
                <w:rFonts w:ascii="Arial" w:hAnsi="Arial" w:cs="Arial"/>
                <w:color w:val="000000" w:themeColor="text1"/>
                <w:sz w:val="16"/>
                <w:szCs w:val="16"/>
              </w:rPr>
            </w:pPr>
            <w:r w:rsidRPr="00155CB9">
              <w:rPr>
                <w:rFonts w:ascii="Arial" w:hAnsi="Arial" w:cs="Arial"/>
                <w:b/>
                <w:color w:val="000000" w:themeColor="text1"/>
                <w:sz w:val="16"/>
                <w:szCs w:val="16"/>
              </w:rPr>
              <w:t>Proxy category</w:t>
            </w:r>
          </w:p>
        </w:tc>
        <w:tc>
          <w:tcPr>
            <w:tcW w:w="4320" w:type="dxa"/>
            <w:shd w:val="clear" w:color="auto" w:fill="D9EAF7"/>
          </w:tcPr>
          <w:p w14:paraId="17B3139A" w14:textId="77777777" w:rsidR="00A37B8A" w:rsidRPr="00155CB9" w:rsidRDefault="00A37B8A" w:rsidP="005A5EBA">
            <w:pPr>
              <w:rPr>
                <w:rFonts w:ascii="Arial" w:hAnsi="Arial" w:cs="Arial"/>
                <w:color w:val="000000" w:themeColor="text1"/>
                <w:sz w:val="16"/>
                <w:szCs w:val="16"/>
              </w:rPr>
            </w:pPr>
            <w:r w:rsidRPr="00155CB9">
              <w:rPr>
                <w:rFonts w:ascii="Arial" w:hAnsi="Arial" w:cs="Arial"/>
                <w:b/>
                <w:color w:val="000000" w:themeColor="text1"/>
                <w:sz w:val="16"/>
                <w:szCs w:val="16"/>
              </w:rPr>
              <w:t>Specific proxies</w:t>
            </w:r>
          </w:p>
        </w:tc>
        <w:tc>
          <w:tcPr>
            <w:tcW w:w="4032" w:type="dxa"/>
            <w:shd w:val="clear" w:color="auto" w:fill="D9EAF7"/>
          </w:tcPr>
          <w:p w14:paraId="4C03AF52" w14:textId="77777777" w:rsidR="00A37B8A" w:rsidRPr="00155CB9" w:rsidRDefault="00A37B8A" w:rsidP="005A5EBA">
            <w:pPr>
              <w:rPr>
                <w:rFonts w:ascii="Arial" w:hAnsi="Arial" w:cs="Arial"/>
                <w:color w:val="000000" w:themeColor="text1"/>
                <w:sz w:val="16"/>
                <w:szCs w:val="16"/>
              </w:rPr>
            </w:pPr>
            <w:r w:rsidRPr="00155CB9">
              <w:rPr>
                <w:rFonts w:ascii="Arial" w:hAnsi="Arial" w:cs="Arial"/>
                <w:b/>
                <w:color w:val="000000" w:themeColor="text1"/>
                <w:sz w:val="16"/>
                <w:szCs w:val="16"/>
              </w:rPr>
              <w:t>Interpretive role</w:t>
            </w:r>
          </w:p>
        </w:tc>
      </w:tr>
      <w:tr w:rsidR="00A37B8A" w:rsidRPr="00155CB9" w14:paraId="4F0EE1DE" w14:textId="77777777" w:rsidTr="005A5EBA">
        <w:trPr>
          <w:cantSplit/>
          <w:jc w:val="center"/>
        </w:trPr>
        <w:tc>
          <w:tcPr>
            <w:tcW w:w="2016" w:type="dxa"/>
          </w:tcPr>
          <w:p w14:paraId="265F325C"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Built-up</w:t>
            </w:r>
          </w:p>
        </w:tc>
        <w:tc>
          <w:tcPr>
            <w:tcW w:w="4320" w:type="dxa"/>
          </w:tcPr>
          <w:p w14:paraId="2D1BC625"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Building damage; texture; building removal and reconstruction; blow-out debris; bridges/public transport facilities; impervious surface.</w:t>
            </w:r>
          </w:p>
        </w:tc>
        <w:tc>
          <w:tcPr>
            <w:tcW w:w="4032" w:type="dxa"/>
          </w:tcPr>
          <w:p w14:paraId="1D8D414D"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Detect physical damage, reconstruction, blocked roads, accessibility, and built-up/permeability change.</w:t>
            </w:r>
          </w:p>
        </w:tc>
      </w:tr>
      <w:tr w:rsidR="00A37B8A" w:rsidRPr="00155CB9" w14:paraId="056C351E" w14:textId="77777777" w:rsidTr="005A5EBA">
        <w:trPr>
          <w:cantSplit/>
          <w:jc w:val="center"/>
        </w:trPr>
        <w:tc>
          <w:tcPr>
            <w:tcW w:w="2016" w:type="dxa"/>
          </w:tcPr>
          <w:p w14:paraId="08FBD2A6"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Built-up/Economic</w:t>
            </w:r>
          </w:p>
        </w:tc>
        <w:tc>
          <w:tcPr>
            <w:tcW w:w="4320" w:type="dxa"/>
          </w:tcPr>
          <w:p w14:paraId="3FCCEB58"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Presence of vehicles.</w:t>
            </w:r>
          </w:p>
        </w:tc>
        <w:tc>
          <w:tcPr>
            <w:tcW w:w="4032" w:type="dxa"/>
          </w:tcPr>
          <w:p w14:paraId="336D5BEC"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Indicate transportation condition, road functioning, accessibility, and economic activity level.</w:t>
            </w:r>
          </w:p>
        </w:tc>
      </w:tr>
      <w:tr w:rsidR="00A37B8A" w:rsidRPr="00155CB9" w14:paraId="799B0CBB" w14:textId="77777777" w:rsidTr="005A5EBA">
        <w:trPr>
          <w:cantSplit/>
          <w:jc w:val="center"/>
        </w:trPr>
        <w:tc>
          <w:tcPr>
            <w:tcW w:w="2016" w:type="dxa"/>
          </w:tcPr>
          <w:p w14:paraId="233E8536"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Economic</w:t>
            </w:r>
          </w:p>
        </w:tc>
        <w:tc>
          <w:tcPr>
            <w:tcW w:w="4320" w:type="dxa"/>
          </w:tcPr>
          <w:p w14:paraId="30891CC5"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Large-scale industry land use; boats; arable land; roof color and material.</w:t>
            </w:r>
          </w:p>
        </w:tc>
        <w:tc>
          <w:tcPr>
            <w:tcW w:w="4032" w:type="dxa"/>
          </w:tcPr>
          <w:p w14:paraId="1721753B"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Indicate economic focal spaces, fishery livelihood, agriculture, and industry recovery.</w:t>
            </w:r>
          </w:p>
        </w:tc>
      </w:tr>
      <w:tr w:rsidR="00A37B8A" w:rsidRPr="00155CB9" w14:paraId="4A8371DF" w14:textId="77777777" w:rsidTr="005A5EBA">
        <w:trPr>
          <w:cantSplit/>
          <w:jc w:val="center"/>
        </w:trPr>
        <w:tc>
          <w:tcPr>
            <w:tcW w:w="2016" w:type="dxa"/>
          </w:tcPr>
          <w:p w14:paraId="4C4459E5"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Social</w:t>
            </w:r>
          </w:p>
        </w:tc>
        <w:tc>
          <w:tcPr>
            <w:tcW w:w="4320" w:type="dxa"/>
          </w:tcPr>
          <w:p w14:paraId="753978AF"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Proportion of built-up and vegetated area; share of population in irregular clusters.</w:t>
            </w:r>
          </w:p>
        </w:tc>
        <w:tc>
          <w:tcPr>
            <w:tcW w:w="4032" w:type="dxa"/>
          </w:tcPr>
          <w:p w14:paraId="38D7D141" w14:textId="77777777" w:rsidR="00A37B8A" w:rsidRPr="00155CB9" w:rsidRDefault="00A37B8A" w:rsidP="005A5EBA">
            <w:pPr>
              <w:rPr>
                <w:rFonts w:ascii="Arial" w:hAnsi="Arial" w:cs="Arial"/>
                <w:color w:val="000000" w:themeColor="text1"/>
                <w:sz w:val="16"/>
                <w:szCs w:val="16"/>
              </w:rPr>
            </w:pPr>
            <w:r w:rsidRPr="00155CB9">
              <w:rPr>
                <w:rFonts w:ascii="Arial" w:hAnsi="Arial" w:cs="Arial"/>
                <w:color w:val="000000" w:themeColor="text1"/>
                <w:sz w:val="16"/>
                <w:szCs w:val="16"/>
              </w:rPr>
              <w:t>Indicate settlement type/location and informal or low-income morphology.</w:t>
            </w:r>
          </w:p>
        </w:tc>
      </w:tr>
    </w:tbl>
    <w:p w14:paraId="2FB447E3" w14:textId="77777777" w:rsidR="00A37B8A" w:rsidRPr="00D87CEC" w:rsidRDefault="00A37B8A" w:rsidP="00A37B8A">
      <w:pPr>
        <w:rPr>
          <w:rFonts w:ascii="Arial" w:hAnsi="Arial" w:cs="Arial"/>
          <w:color w:val="000000" w:themeColor="text1"/>
          <w:sz w:val="20"/>
          <w:szCs w:val="20"/>
        </w:rPr>
      </w:pPr>
    </w:p>
    <w:p w14:paraId="32369B12" w14:textId="77777777" w:rsidR="00A37B8A" w:rsidRPr="00155CB9" w:rsidRDefault="00A37B8A" w:rsidP="00A37B8A">
      <w:pPr>
        <w:pStyle w:val="Heading2"/>
        <w:rPr>
          <w:rFonts w:ascii="Arial" w:hAnsi="Arial" w:cs="Arial"/>
          <w:b/>
          <w:bCs/>
          <w:color w:val="000000" w:themeColor="text1"/>
          <w:sz w:val="20"/>
          <w:szCs w:val="20"/>
        </w:rPr>
      </w:pPr>
      <w:bookmarkStart w:id="17" w:name="_Toc234318916"/>
      <w:r w:rsidRPr="00155CB9">
        <w:rPr>
          <w:rFonts w:ascii="Arial" w:hAnsi="Arial" w:cs="Arial"/>
          <w:b/>
          <w:bCs/>
          <w:color w:val="000000" w:themeColor="text1"/>
          <w:sz w:val="20"/>
          <w:szCs w:val="20"/>
        </w:rPr>
        <w:t>3.4 Classification outputs and numerical findings</w:t>
      </w:r>
      <w:bookmarkEnd w:id="17"/>
    </w:p>
    <w:p w14:paraId="73E7BF94"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For Barangay 69, the land cover classification achieved overall accuracies of 85.4% at T0, 76.1% at T1, 83.4% at T2, and 86.0% at T3. Land use classification was harder and achieved overall accuracies of 81.8%, 72.1%, 78.7%, and 78.8% across the same epochs. The event-time image was the weakest because damage, shadows, debris, rubble, and classification ambiguity were highest immediately after the disaster.</w:t>
      </w:r>
    </w:p>
    <w:tbl>
      <w:tblPr>
        <w:tblStyle w:val="TableGrid"/>
        <w:tblW w:w="0" w:type="auto"/>
        <w:jc w:val="center"/>
        <w:tblLook w:val="04A0" w:firstRow="1" w:lastRow="0" w:firstColumn="1" w:lastColumn="0" w:noHBand="0" w:noVBand="1"/>
      </w:tblPr>
      <w:tblGrid>
        <w:gridCol w:w="1702"/>
        <w:gridCol w:w="1040"/>
        <w:gridCol w:w="1116"/>
        <w:gridCol w:w="1040"/>
        <w:gridCol w:w="1040"/>
        <w:gridCol w:w="3078"/>
      </w:tblGrid>
      <w:tr w:rsidR="00A37B8A" w:rsidRPr="00DA14DB" w14:paraId="22D6C3CD" w14:textId="77777777" w:rsidTr="005A5EBA">
        <w:trPr>
          <w:cantSplit/>
          <w:tblHeader/>
          <w:jc w:val="center"/>
        </w:trPr>
        <w:tc>
          <w:tcPr>
            <w:tcW w:w="2088" w:type="dxa"/>
            <w:shd w:val="clear" w:color="auto" w:fill="D9EAF7"/>
          </w:tcPr>
          <w:p w14:paraId="1CAD79E4" w14:textId="77777777" w:rsidR="00A37B8A" w:rsidRPr="00DA14DB" w:rsidRDefault="00A37B8A" w:rsidP="005A5EBA">
            <w:pPr>
              <w:rPr>
                <w:rFonts w:ascii="Arial" w:hAnsi="Arial" w:cs="Arial"/>
                <w:color w:val="000000" w:themeColor="text1"/>
                <w:sz w:val="16"/>
                <w:szCs w:val="16"/>
              </w:rPr>
            </w:pPr>
            <w:r w:rsidRPr="00DA14DB">
              <w:rPr>
                <w:rFonts w:ascii="Arial" w:hAnsi="Arial" w:cs="Arial"/>
                <w:b/>
                <w:color w:val="000000" w:themeColor="text1"/>
                <w:sz w:val="16"/>
                <w:szCs w:val="16"/>
              </w:rPr>
              <w:t>Proxy</w:t>
            </w:r>
          </w:p>
        </w:tc>
        <w:tc>
          <w:tcPr>
            <w:tcW w:w="1224" w:type="dxa"/>
            <w:shd w:val="clear" w:color="auto" w:fill="D9EAF7"/>
          </w:tcPr>
          <w:p w14:paraId="4629F3AC" w14:textId="77777777" w:rsidR="00A37B8A" w:rsidRPr="00DA14DB" w:rsidRDefault="00A37B8A" w:rsidP="005A5EBA">
            <w:pPr>
              <w:rPr>
                <w:rFonts w:ascii="Arial" w:hAnsi="Arial" w:cs="Arial"/>
                <w:color w:val="000000" w:themeColor="text1"/>
                <w:sz w:val="16"/>
                <w:szCs w:val="16"/>
              </w:rPr>
            </w:pPr>
            <w:r w:rsidRPr="00DA14DB">
              <w:rPr>
                <w:rFonts w:ascii="Arial" w:hAnsi="Arial" w:cs="Arial"/>
                <w:b/>
                <w:color w:val="000000" w:themeColor="text1"/>
                <w:sz w:val="16"/>
                <w:szCs w:val="16"/>
              </w:rPr>
              <w:t>T0</w:t>
            </w:r>
          </w:p>
        </w:tc>
        <w:tc>
          <w:tcPr>
            <w:tcW w:w="1224" w:type="dxa"/>
            <w:shd w:val="clear" w:color="auto" w:fill="D9EAF7"/>
          </w:tcPr>
          <w:p w14:paraId="5275F123" w14:textId="77777777" w:rsidR="00A37B8A" w:rsidRPr="00DA14DB" w:rsidRDefault="00A37B8A" w:rsidP="005A5EBA">
            <w:pPr>
              <w:rPr>
                <w:rFonts w:ascii="Arial" w:hAnsi="Arial" w:cs="Arial"/>
                <w:color w:val="000000" w:themeColor="text1"/>
                <w:sz w:val="16"/>
                <w:szCs w:val="16"/>
              </w:rPr>
            </w:pPr>
            <w:r w:rsidRPr="00DA14DB">
              <w:rPr>
                <w:rFonts w:ascii="Arial" w:hAnsi="Arial" w:cs="Arial"/>
                <w:b/>
                <w:color w:val="000000" w:themeColor="text1"/>
                <w:sz w:val="16"/>
                <w:szCs w:val="16"/>
              </w:rPr>
              <w:t>T1</w:t>
            </w:r>
          </w:p>
        </w:tc>
        <w:tc>
          <w:tcPr>
            <w:tcW w:w="1224" w:type="dxa"/>
            <w:shd w:val="clear" w:color="auto" w:fill="D9EAF7"/>
          </w:tcPr>
          <w:p w14:paraId="11B0BBE3" w14:textId="77777777" w:rsidR="00A37B8A" w:rsidRPr="00DA14DB" w:rsidRDefault="00A37B8A" w:rsidP="005A5EBA">
            <w:pPr>
              <w:rPr>
                <w:rFonts w:ascii="Arial" w:hAnsi="Arial" w:cs="Arial"/>
                <w:color w:val="000000" w:themeColor="text1"/>
                <w:sz w:val="16"/>
                <w:szCs w:val="16"/>
              </w:rPr>
            </w:pPr>
            <w:r w:rsidRPr="00DA14DB">
              <w:rPr>
                <w:rFonts w:ascii="Arial" w:hAnsi="Arial" w:cs="Arial"/>
                <w:b/>
                <w:color w:val="000000" w:themeColor="text1"/>
                <w:sz w:val="16"/>
                <w:szCs w:val="16"/>
              </w:rPr>
              <w:t>T2</w:t>
            </w:r>
          </w:p>
        </w:tc>
        <w:tc>
          <w:tcPr>
            <w:tcW w:w="1224" w:type="dxa"/>
            <w:shd w:val="clear" w:color="auto" w:fill="D9EAF7"/>
          </w:tcPr>
          <w:p w14:paraId="4424A3B8" w14:textId="77777777" w:rsidR="00A37B8A" w:rsidRPr="00DA14DB" w:rsidRDefault="00A37B8A" w:rsidP="005A5EBA">
            <w:pPr>
              <w:rPr>
                <w:rFonts w:ascii="Arial" w:hAnsi="Arial" w:cs="Arial"/>
                <w:color w:val="000000" w:themeColor="text1"/>
                <w:sz w:val="16"/>
                <w:szCs w:val="16"/>
              </w:rPr>
            </w:pPr>
            <w:r w:rsidRPr="00DA14DB">
              <w:rPr>
                <w:rFonts w:ascii="Arial" w:hAnsi="Arial" w:cs="Arial"/>
                <w:b/>
                <w:color w:val="000000" w:themeColor="text1"/>
                <w:sz w:val="16"/>
                <w:szCs w:val="16"/>
              </w:rPr>
              <w:t>T3</w:t>
            </w:r>
          </w:p>
        </w:tc>
        <w:tc>
          <w:tcPr>
            <w:tcW w:w="3888" w:type="dxa"/>
            <w:shd w:val="clear" w:color="auto" w:fill="D9EAF7"/>
          </w:tcPr>
          <w:p w14:paraId="4CA9A2C8" w14:textId="77777777" w:rsidR="00A37B8A" w:rsidRPr="00DA14DB" w:rsidRDefault="00A37B8A" w:rsidP="005A5EBA">
            <w:pPr>
              <w:rPr>
                <w:rFonts w:ascii="Arial" w:hAnsi="Arial" w:cs="Arial"/>
                <w:color w:val="000000" w:themeColor="text1"/>
                <w:sz w:val="16"/>
                <w:szCs w:val="16"/>
              </w:rPr>
            </w:pPr>
            <w:r w:rsidRPr="00DA14DB">
              <w:rPr>
                <w:rFonts w:ascii="Arial" w:hAnsi="Arial" w:cs="Arial"/>
                <w:b/>
                <w:color w:val="000000" w:themeColor="text1"/>
                <w:sz w:val="16"/>
                <w:szCs w:val="16"/>
              </w:rPr>
              <w:t>Interpretation</w:t>
            </w:r>
          </w:p>
        </w:tc>
      </w:tr>
      <w:tr w:rsidR="00A37B8A" w:rsidRPr="00DA14DB" w14:paraId="3B5297E9" w14:textId="77777777" w:rsidTr="005A5EBA">
        <w:trPr>
          <w:cantSplit/>
          <w:jc w:val="center"/>
        </w:trPr>
        <w:tc>
          <w:tcPr>
            <w:tcW w:w="2088" w:type="dxa"/>
          </w:tcPr>
          <w:p w14:paraId="24224D97"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Building size</w:t>
            </w:r>
          </w:p>
        </w:tc>
        <w:tc>
          <w:tcPr>
            <w:tcW w:w="1224" w:type="dxa"/>
          </w:tcPr>
          <w:p w14:paraId="53076396" w14:textId="644E39EC"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29,878 </w:t>
            </w:r>
          </w:p>
        </w:tc>
        <w:tc>
          <w:tcPr>
            <w:tcW w:w="1224" w:type="dxa"/>
          </w:tcPr>
          <w:p w14:paraId="5D844124" w14:textId="28110FA4"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3,236 </w:t>
            </w:r>
          </w:p>
        </w:tc>
        <w:tc>
          <w:tcPr>
            <w:tcW w:w="1224" w:type="dxa"/>
          </w:tcPr>
          <w:p w14:paraId="35C3DF24" w14:textId="3191D88D"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25,236 </w:t>
            </w:r>
          </w:p>
        </w:tc>
        <w:tc>
          <w:tcPr>
            <w:tcW w:w="1224" w:type="dxa"/>
          </w:tcPr>
          <w:p w14:paraId="3654327C" w14:textId="432D681F"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26,852 </w:t>
            </w:r>
          </w:p>
        </w:tc>
        <w:tc>
          <w:tcPr>
            <w:tcW w:w="3888" w:type="dxa"/>
          </w:tcPr>
          <w:p w14:paraId="572180AF"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Suggests major apparent damage at T1 and substantial reconstruction by T3; thesis cautions that the very low T1 value likely overstates destroyed buildings.</w:t>
            </w:r>
          </w:p>
        </w:tc>
      </w:tr>
      <w:tr w:rsidR="00A37B8A" w:rsidRPr="00DA14DB" w14:paraId="79E0827C" w14:textId="77777777" w:rsidTr="005A5EBA">
        <w:trPr>
          <w:cantSplit/>
          <w:jc w:val="center"/>
        </w:trPr>
        <w:tc>
          <w:tcPr>
            <w:tcW w:w="2088" w:type="dxa"/>
          </w:tcPr>
          <w:p w14:paraId="6A9A936B"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Impervious surface</w:t>
            </w:r>
          </w:p>
        </w:tc>
        <w:tc>
          <w:tcPr>
            <w:tcW w:w="1224" w:type="dxa"/>
          </w:tcPr>
          <w:p w14:paraId="47165E8A" w14:textId="4000515E"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15,792 </w:t>
            </w:r>
          </w:p>
        </w:tc>
        <w:tc>
          <w:tcPr>
            <w:tcW w:w="1224" w:type="dxa"/>
          </w:tcPr>
          <w:p w14:paraId="4035B8D6" w14:textId="673E5066"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3,236 </w:t>
            </w:r>
          </w:p>
        </w:tc>
        <w:tc>
          <w:tcPr>
            <w:tcW w:w="1224" w:type="dxa"/>
          </w:tcPr>
          <w:p w14:paraId="6800C860" w14:textId="5C9F3D4F"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28,482 </w:t>
            </w:r>
          </w:p>
        </w:tc>
        <w:tc>
          <w:tcPr>
            <w:tcW w:w="1224" w:type="dxa"/>
          </w:tcPr>
          <w:p w14:paraId="0113F487" w14:textId="63FFDAE3"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28,270 </w:t>
            </w:r>
          </w:p>
        </w:tc>
        <w:tc>
          <w:tcPr>
            <w:tcW w:w="3888" w:type="dxa"/>
          </w:tcPr>
          <w:p w14:paraId="759896DD"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Large post-event increase, but interpretation depends on classification consistency and built-up/road changes.</w:t>
            </w:r>
          </w:p>
        </w:tc>
      </w:tr>
      <w:tr w:rsidR="00A37B8A" w:rsidRPr="00DA14DB" w14:paraId="01CA0D0A" w14:textId="77777777" w:rsidTr="005A5EBA">
        <w:trPr>
          <w:cantSplit/>
          <w:jc w:val="center"/>
        </w:trPr>
        <w:tc>
          <w:tcPr>
            <w:tcW w:w="2088" w:type="dxa"/>
          </w:tcPr>
          <w:p w14:paraId="34FAD17F"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Vehicles</w:t>
            </w:r>
          </w:p>
        </w:tc>
        <w:tc>
          <w:tcPr>
            <w:tcW w:w="1224" w:type="dxa"/>
          </w:tcPr>
          <w:p w14:paraId="1543D81F"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9</w:t>
            </w:r>
          </w:p>
        </w:tc>
        <w:tc>
          <w:tcPr>
            <w:tcW w:w="1224" w:type="dxa"/>
          </w:tcPr>
          <w:p w14:paraId="66C6CEB6"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1</w:t>
            </w:r>
          </w:p>
        </w:tc>
        <w:tc>
          <w:tcPr>
            <w:tcW w:w="1224" w:type="dxa"/>
          </w:tcPr>
          <w:p w14:paraId="73F517D2"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15</w:t>
            </w:r>
          </w:p>
        </w:tc>
        <w:tc>
          <w:tcPr>
            <w:tcW w:w="1224" w:type="dxa"/>
          </w:tcPr>
          <w:p w14:paraId="1C9FCF39"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10</w:t>
            </w:r>
          </w:p>
        </w:tc>
        <w:tc>
          <w:tcPr>
            <w:tcW w:w="3888" w:type="dxa"/>
          </w:tcPr>
          <w:p w14:paraId="39DD81D1"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Suggests activity/accessibility disruption and </w:t>
            </w:r>
            <w:proofErr w:type="gramStart"/>
            <w:r w:rsidRPr="00DA14DB">
              <w:rPr>
                <w:rFonts w:ascii="Arial" w:hAnsi="Arial" w:cs="Arial"/>
                <w:color w:val="000000" w:themeColor="text1"/>
                <w:sz w:val="16"/>
                <w:szCs w:val="16"/>
              </w:rPr>
              <w:t>rebound, but</w:t>
            </w:r>
            <w:proofErr w:type="gramEnd"/>
            <w:r w:rsidRPr="00DA14DB">
              <w:rPr>
                <w:rFonts w:ascii="Arial" w:hAnsi="Arial" w:cs="Arial"/>
                <w:color w:val="000000" w:themeColor="text1"/>
                <w:sz w:val="16"/>
                <w:szCs w:val="16"/>
              </w:rPr>
              <w:t xml:space="preserve"> is highly acquisition-time dependent.</w:t>
            </w:r>
          </w:p>
        </w:tc>
      </w:tr>
      <w:tr w:rsidR="00A37B8A" w:rsidRPr="00DA14DB" w14:paraId="47972875" w14:textId="77777777" w:rsidTr="005A5EBA">
        <w:trPr>
          <w:cantSplit/>
          <w:jc w:val="center"/>
        </w:trPr>
        <w:tc>
          <w:tcPr>
            <w:tcW w:w="2088" w:type="dxa"/>
          </w:tcPr>
          <w:p w14:paraId="3F62F181"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Large-scale industry</w:t>
            </w:r>
          </w:p>
        </w:tc>
        <w:tc>
          <w:tcPr>
            <w:tcW w:w="1224" w:type="dxa"/>
          </w:tcPr>
          <w:p w14:paraId="51D7B689" w14:textId="697D1279"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12,396 </w:t>
            </w:r>
          </w:p>
        </w:tc>
        <w:tc>
          <w:tcPr>
            <w:tcW w:w="1224" w:type="dxa"/>
          </w:tcPr>
          <w:p w14:paraId="5B8279FD" w14:textId="7E3AAE41"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1,036 </w:t>
            </w:r>
          </w:p>
        </w:tc>
        <w:tc>
          <w:tcPr>
            <w:tcW w:w="1224" w:type="dxa"/>
          </w:tcPr>
          <w:p w14:paraId="378EBF0B" w14:textId="2C3BEEF2"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2,564 </w:t>
            </w:r>
          </w:p>
        </w:tc>
        <w:tc>
          <w:tcPr>
            <w:tcW w:w="1224" w:type="dxa"/>
          </w:tcPr>
          <w:p w14:paraId="7A43E48E" w14:textId="124A9302"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2,840 </w:t>
            </w:r>
          </w:p>
        </w:tc>
        <w:tc>
          <w:tcPr>
            <w:tcW w:w="3888" w:type="dxa"/>
          </w:tcPr>
          <w:p w14:paraId="19A41A71"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Industrial area did not return to pre-event levels in the mapped classes.</w:t>
            </w:r>
          </w:p>
        </w:tc>
      </w:tr>
      <w:tr w:rsidR="00A37B8A" w:rsidRPr="00DA14DB" w14:paraId="27BA9CEB" w14:textId="77777777" w:rsidTr="005A5EBA">
        <w:trPr>
          <w:cantSplit/>
          <w:jc w:val="center"/>
        </w:trPr>
        <w:tc>
          <w:tcPr>
            <w:tcW w:w="2088" w:type="dxa"/>
          </w:tcPr>
          <w:p w14:paraId="0CF7EE51"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Crop land</w:t>
            </w:r>
          </w:p>
        </w:tc>
        <w:tc>
          <w:tcPr>
            <w:tcW w:w="1224" w:type="dxa"/>
          </w:tcPr>
          <w:p w14:paraId="1E7E5CCA" w14:textId="51F66614"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15,526 </w:t>
            </w:r>
          </w:p>
        </w:tc>
        <w:tc>
          <w:tcPr>
            <w:tcW w:w="1224" w:type="dxa"/>
          </w:tcPr>
          <w:p w14:paraId="70BA702C" w14:textId="74B6E980"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18,336 </w:t>
            </w:r>
          </w:p>
        </w:tc>
        <w:tc>
          <w:tcPr>
            <w:tcW w:w="1224" w:type="dxa"/>
          </w:tcPr>
          <w:p w14:paraId="3B6E2A11" w14:textId="2828C458"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43,848 </w:t>
            </w:r>
          </w:p>
        </w:tc>
        <w:tc>
          <w:tcPr>
            <w:tcW w:w="1224" w:type="dxa"/>
          </w:tcPr>
          <w:p w14:paraId="0C509F2D" w14:textId="3F012C93"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45,086 </w:t>
            </w:r>
          </w:p>
        </w:tc>
        <w:tc>
          <w:tcPr>
            <w:tcW w:w="3888" w:type="dxa"/>
          </w:tcPr>
          <w:p w14:paraId="0BF74264"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Agricultural class increased, partly reflecting shifts away from coconut palms after Haiyan.</w:t>
            </w:r>
          </w:p>
        </w:tc>
      </w:tr>
      <w:tr w:rsidR="00A37B8A" w:rsidRPr="00DA14DB" w14:paraId="2D1E7E88" w14:textId="77777777" w:rsidTr="005A5EBA">
        <w:trPr>
          <w:cantSplit/>
          <w:jc w:val="center"/>
        </w:trPr>
        <w:tc>
          <w:tcPr>
            <w:tcW w:w="2088" w:type="dxa"/>
          </w:tcPr>
          <w:p w14:paraId="3D22ABC1"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lastRenderedPageBreak/>
              <w:t>Trees</w:t>
            </w:r>
          </w:p>
        </w:tc>
        <w:tc>
          <w:tcPr>
            <w:tcW w:w="1224" w:type="dxa"/>
          </w:tcPr>
          <w:p w14:paraId="7623D06B" w14:textId="2B17DD9E"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68,102 </w:t>
            </w:r>
          </w:p>
        </w:tc>
        <w:tc>
          <w:tcPr>
            <w:tcW w:w="1224" w:type="dxa"/>
          </w:tcPr>
          <w:p w14:paraId="56FF99BF"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Assumed destroyed</w:t>
            </w:r>
          </w:p>
        </w:tc>
        <w:tc>
          <w:tcPr>
            <w:tcW w:w="1224" w:type="dxa"/>
          </w:tcPr>
          <w:p w14:paraId="26BA1E6A" w14:textId="4D9DC48C"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35,318 </w:t>
            </w:r>
          </w:p>
        </w:tc>
        <w:tc>
          <w:tcPr>
            <w:tcW w:w="1224" w:type="dxa"/>
          </w:tcPr>
          <w:p w14:paraId="4D2D7CCF" w14:textId="388A1A02"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34,470 </w:t>
            </w:r>
          </w:p>
        </w:tc>
        <w:tc>
          <w:tcPr>
            <w:tcW w:w="3888" w:type="dxa"/>
          </w:tcPr>
          <w:p w14:paraId="6519E2CB"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Tree recovery lagged because coconut palms take years to mature and young replanted trees may be misclassified.</w:t>
            </w:r>
          </w:p>
        </w:tc>
      </w:tr>
      <w:tr w:rsidR="00A37B8A" w:rsidRPr="00DA14DB" w14:paraId="563747F3" w14:textId="77777777" w:rsidTr="005A5EBA">
        <w:trPr>
          <w:cantSplit/>
          <w:jc w:val="center"/>
        </w:trPr>
        <w:tc>
          <w:tcPr>
            <w:tcW w:w="2088" w:type="dxa"/>
          </w:tcPr>
          <w:p w14:paraId="05E8F9C2"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Boats</w:t>
            </w:r>
          </w:p>
        </w:tc>
        <w:tc>
          <w:tcPr>
            <w:tcW w:w="1224" w:type="dxa"/>
          </w:tcPr>
          <w:p w14:paraId="55C22C7D"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13</w:t>
            </w:r>
          </w:p>
        </w:tc>
        <w:tc>
          <w:tcPr>
            <w:tcW w:w="1224" w:type="dxa"/>
          </w:tcPr>
          <w:p w14:paraId="1531AD46"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2</w:t>
            </w:r>
          </w:p>
        </w:tc>
        <w:tc>
          <w:tcPr>
            <w:tcW w:w="1224" w:type="dxa"/>
          </w:tcPr>
          <w:p w14:paraId="2DD1258E"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32</w:t>
            </w:r>
          </w:p>
        </w:tc>
        <w:tc>
          <w:tcPr>
            <w:tcW w:w="1224" w:type="dxa"/>
          </w:tcPr>
          <w:p w14:paraId="4B9A8B3B"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22</w:t>
            </w:r>
          </w:p>
        </w:tc>
        <w:tc>
          <w:tcPr>
            <w:tcW w:w="3888" w:type="dxa"/>
          </w:tcPr>
          <w:p w14:paraId="02DC3DB0"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Fishery activity proxy shows a decline at T1 and </w:t>
            </w:r>
            <w:proofErr w:type="gramStart"/>
            <w:r w:rsidRPr="00DA14DB">
              <w:rPr>
                <w:rFonts w:ascii="Arial" w:hAnsi="Arial" w:cs="Arial"/>
                <w:color w:val="000000" w:themeColor="text1"/>
                <w:sz w:val="16"/>
                <w:szCs w:val="16"/>
              </w:rPr>
              <w:t>rebound</w:t>
            </w:r>
            <w:proofErr w:type="gramEnd"/>
            <w:r w:rsidRPr="00DA14DB">
              <w:rPr>
                <w:rFonts w:ascii="Arial" w:hAnsi="Arial" w:cs="Arial"/>
                <w:color w:val="000000" w:themeColor="text1"/>
                <w:sz w:val="16"/>
                <w:szCs w:val="16"/>
              </w:rPr>
              <w:t xml:space="preserve"> after the disaster.</w:t>
            </w:r>
          </w:p>
        </w:tc>
      </w:tr>
      <w:tr w:rsidR="00A37B8A" w:rsidRPr="00DA14DB" w14:paraId="212D1A8A" w14:textId="77777777" w:rsidTr="005A5EBA">
        <w:trPr>
          <w:cantSplit/>
          <w:jc w:val="center"/>
        </w:trPr>
        <w:tc>
          <w:tcPr>
            <w:tcW w:w="2088" w:type="dxa"/>
          </w:tcPr>
          <w:p w14:paraId="21D02C45"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Informal settlement size</w:t>
            </w:r>
          </w:p>
        </w:tc>
        <w:tc>
          <w:tcPr>
            <w:tcW w:w="1224" w:type="dxa"/>
          </w:tcPr>
          <w:p w14:paraId="4A3F0844" w14:textId="25148ED4"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4,284 </w:t>
            </w:r>
          </w:p>
        </w:tc>
        <w:tc>
          <w:tcPr>
            <w:tcW w:w="1224" w:type="dxa"/>
          </w:tcPr>
          <w:p w14:paraId="6F2CF131" w14:textId="523A92EE"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0</w:t>
            </w:r>
            <w:r w:rsidR="00DA14DB">
              <w:rPr>
                <w:rFonts w:ascii="Arial" w:hAnsi="Arial" w:cs="Arial"/>
                <w:color w:val="000000" w:themeColor="text1"/>
                <w:sz w:val="16"/>
                <w:szCs w:val="16"/>
              </w:rPr>
              <w:t xml:space="preserve"> </w:t>
            </w:r>
          </w:p>
        </w:tc>
        <w:tc>
          <w:tcPr>
            <w:tcW w:w="1224" w:type="dxa"/>
          </w:tcPr>
          <w:p w14:paraId="2A2DD27F" w14:textId="2C238FF3"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3,138 </w:t>
            </w:r>
          </w:p>
        </w:tc>
        <w:tc>
          <w:tcPr>
            <w:tcW w:w="1224" w:type="dxa"/>
          </w:tcPr>
          <w:p w14:paraId="3AF128FB" w14:textId="6B562ECC"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 xml:space="preserve">3,484 </w:t>
            </w:r>
          </w:p>
        </w:tc>
        <w:tc>
          <w:tcPr>
            <w:tcW w:w="3888" w:type="dxa"/>
          </w:tcPr>
          <w:p w14:paraId="50BDECAA" w14:textId="77777777" w:rsidR="00A37B8A" w:rsidRPr="00DA14DB" w:rsidRDefault="00A37B8A" w:rsidP="005A5EBA">
            <w:pPr>
              <w:rPr>
                <w:rFonts w:ascii="Arial" w:hAnsi="Arial" w:cs="Arial"/>
                <w:color w:val="000000" w:themeColor="text1"/>
                <w:sz w:val="16"/>
                <w:szCs w:val="16"/>
              </w:rPr>
            </w:pPr>
            <w:r w:rsidRPr="00DA14DB">
              <w:rPr>
                <w:rFonts w:ascii="Arial" w:hAnsi="Arial" w:cs="Arial"/>
                <w:color w:val="000000" w:themeColor="text1"/>
                <w:sz w:val="16"/>
                <w:szCs w:val="16"/>
              </w:rPr>
              <w:t>Informal/irregular clusters decreased relative to T0, interpreted as a positive recovery aspect, but still a proxy.</w:t>
            </w:r>
          </w:p>
        </w:tc>
      </w:tr>
    </w:tbl>
    <w:p w14:paraId="5A5FDF5F" w14:textId="77777777" w:rsidR="00A37B8A" w:rsidRPr="00D87CEC" w:rsidRDefault="00A37B8A" w:rsidP="00A37B8A">
      <w:pPr>
        <w:rPr>
          <w:rFonts w:ascii="Arial" w:hAnsi="Arial" w:cs="Arial"/>
          <w:color w:val="000000" w:themeColor="text1"/>
          <w:sz w:val="20"/>
          <w:szCs w:val="20"/>
        </w:rPr>
      </w:pPr>
    </w:p>
    <w:p w14:paraId="2B09250B" w14:textId="77777777" w:rsidR="00A37B8A" w:rsidRPr="00C85324" w:rsidRDefault="00A37B8A" w:rsidP="00A37B8A">
      <w:pPr>
        <w:pStyle w:val="Heading2"/>
        <w:rPr>
          <w:rFonts w:ascii="Arial" w:hAnsi="Arial" w:cs="Arial"/>
          <w:b/>
          <w:bCs/>
          <w:color w:val="000000" w:themeColor="text1"/>
          <w:sz w:val="20"/>
          <w:szCs w:val="20"/>
        </w:rPr>
      </w:pPr>
      <w:bookmarkStart w:id="18" w:name="_Toc234318917"/>
      <w:r w:rsidRPr="00C85324">
        <w:rPr>
          <w:rFonts w:ascii="Arial" w:hAnsi="Arial" w:cs="Arial"/>
          <w:b/>
          <w:bCs/>
          <w:color w:val="000000" w:themeColor="text1"/>
          <w:sz w:val="20"/>
          <w:szCs w:val="20"/>
        </w:rPr>
        <w:t>3.5 Key methodological limitations in Chapter 3</w:t>
      </w:r>
      <w:bookmarkEnd w:id="18"/>
    </w:p>
    <w:tbl>
      <w:tblPr>
        <w:tblStyle w:val="TableGrid"/>
        <w:tblW w:w="0" w:type="auto"/>
        <w:jc w:val="center"/>
        <w:tblLook w:val="04A0" w:firstRow="1" w:lastRow="0" w:firstColumn="1" w:lastColumn="0" w:noHBand="0" w:noVBand="1"/>
      </w:tblPr>
      <w:tblGrid>
        <w:gridCol w:w="1889"/>
        <w:gridCol w:w="3716"/>
        <w:gridCol w:w="3411"/>
      </w:tblGrid>
      <w:tr w:rsidR="00A37B8A" w:rsidRPr="00C85324" w14:paraId="3E3874BD" w14:textId="77777777" w:rsidTr="005A5EBA">
        <w:trPr>
          <w:cantSplit/>
          <w:tblHeader/>
          <w:jc w:val="center"/>
        </w:trPr>
        <w:tc>
          <w:tcPr>
            <w:tcW w:w="2088" w:type="dxa"/>
            <w:shd w:val="clear" w:color="auto" w:fill="D9EAF7"/>
          </w:tcPr>
          <w:p w14:paraId="18DECF32" w14:textId="77777777" w:rsidR="00A37B8A" w:rsidRPr="00C85324" w:rsidRDefault="00A37B8A" w:rsidP="005A5EBA">
            <w:pPr>
              <w:rPr>
                <w:rFonts w:ascii="Arial" w:hAnsi="Arial" w:cs="Arial"/>
                <w:color w:val="000000" w:themeColor="text1"/>
                <w:sz w:val="16"/>
                <w:szCs w:val="16"/>
              </w:rPr>
            </w:pPr>
            <w:r w:rsidRPr="00C85324">
              <w:rPr>
                <w:rFonts w:ascii="Arial" w:hAnsi="Arial" w:cs="Arial"/>
                <w:b/>
                <w:color w:val="000000" w:themeColor="text1"/>
                <w:sz w:val="16"/>
                <w:szCs w:val="16"/>
              </w:rPr>
              <w:t>Limitation</w:t>
            </w:r>
          </w:p>
        </w:tc>
        <w:tc>
          <w:tcPr>
            <w:tcW w:w="4464" w:type="dxa"/>
            <w:shd w:val="clear" w:color="auto" w:fill="D9EAF7"/>
          </w:tcPr>
          <w:p w14:paraId="36BF6D7B" w14:textId="77777777" w:rsidR="00A37B8A" w:rsidRPr="00C85324" w:rsidRDefault="00A37B8A" w:rsidP="005A5EBA">
            <w:pPr>
              <w:rPr>
                <w:rFonts w:ascii="Arial" w:hAnsi="Arial" w:cs="Arial"/>
                <w:color w:val="000000" w:themeColor="text1"/>
                <w:sz w:val="16"/>
                <w:szCs w:val="16"/>
              </w:rPr>
            </w:pPr>
            <w:r w:rsidRPr="00C85324">
              <w:rPr>
                <w:rFonts w:ascii="Arial" w:hAnsi="Arial" w:cs="Arial"/>
                <w:b/>
                <w:color w:val="000000" w:themeColor="text1"/>
                <w:sz w:val="16"/>
                <w:szCs w:val="16"/>
              </w:rPr>
              <w:t>Chapter 3 evidence</w:t>
            </w:r>
          </w:p>
        </w:tc>
        <w:tc>
          <w:tcPr>
            <w:tcW w:w="4032" w:type="dxa"/>
            <w:shd w:val="clear" w:color="auto" w:fill="D9EAF7"/>
          </w:tcPr>
          <w:p w14:paraId="68D7E9FD" w14:textId="77777777" w:rsidR="00A37B8A" w:rsidRPr="00C85324" w:rsidRDefault="00A37B8A" w:rsidP="005A5EBA">
            <w:pPr>
              <w:rPr>
                <w:rFonts w:ascii="Arial" w:hAnsi="Arial" w:cs="Arial"/>
                <w:color w:val="000000" w:themeColor="text1"/>
                <w:sz w:val="16"/>
                <w:szCs w:val="16"/>
              </w:rPr>
            </w:pPr>
            <w:r w:rsidRPr="00C85324">
              <w:rPr>
                <w:rFonts w:ascii="Arial" w:hAnsi="Arial" w:cs="Arial"/>
                <w:b/>
                <w:color w:val="000000" w:themeColor="text1"/>
                <w:sz w:val="16"/>
                <w:szCs w:val="16"/>
              </w:rPr>
              <w:t>RQ2 translation</w:t>
            </w:r>
          </w:p>
        </w:tc>
      </w:tr>
      <w:tr w:rsidR="00A37B8A" w:rsidRPr="00C85324" w14:paraId="3B0DAE7D" w14:textId="77777777" w:rsidTr="005A5EBA">
        <w:trPr>
          <w:cantSplit/>
          <w:jc w:val="center"/>
        </w:trPr>
        <w:tc>
          <w:tcPr>
            <w:tcW w:w="2088" w:type="dxa"/>
          </w:tcPr>
          <w:p w14:paraId="16E34ABC"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Damage overestimation</w:t>
            </w:r>
          </w:p>
        </w:tc>
        <w:tc>
          <w:tcPr>
            <w:tcW w:w="4464" w:type="dxa"/>
          </w:tcPr>
          <w:p w14:paraId="28B6BA22"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 xml:space="preserve">Debris and rubble can cause remote sensing-based damage maps to overestimate destroyed buildings. The thesis notes that washed-up or wind-blown rubble in Tacloban produced </w:t>
            </w:r>
            <w:r w:rsidRPr="00DA2E93">
              <w:rPr>
                <w:rFonts w:ascii="Arial" w:hAnsi="Arial" w:cs="Arial"/>
                <w:b/>
                <w:bCs/>
                <w:color w:val="000000" w:themeColor="text1"/>
                <w:sz w:val="16"/>
                <w:szCs w:val="16"/>
              </w:rPr>
              <w:t xml:space="preserve">strong damage </w:t>
            </w:r>
            <w:proofErr w:type="gramStart"/>
            <w:r w:rsidRPr="00DA2E93">
              <w:rPr>
                <w:rFonts w:ascii="Arial" w:hAnsi="Arial" w:cs="Arial"/>
                <w:b/>
                <w:bCs/>
                <w:color w:val="000000" w:themeColor="text1"/>
                <w:sz w:val="16"/>
                <w:szCs w:val="16"/>
              </w:rPr>
              <w:t>overestimation</w:t>
            </w:r>
            <w:r w:rsidRPr="00C85324">
              <w:rPr>
                <w:rFonts w:ascii="Arial" w:hAnsi="Arial" w:cs="Arial"/>
                <w:color w:val="000000" w:themeColor="text1"/>
                <w:sz w:val="16"/>
                <w:szCs w:val="16"/>
              </w:rPr>
              <w:t>, and</w:t>
            </w:r>
            <w:proofErr w:type="gramEnd"/>
            <w:r w:rsidRPr="00C85324">
              <w:rPr>
                <w:rFonts w:ascii="Arial" w:hAnsi="Arial" w:cs="Arial"/>
                <w:color w:val="000000" w:themeColor="text1"/>
                <w:sz w:val="16"/>
                <w:szCs w:val="16"/>
              </w:rPr>
              <w:t xml:space="preserve"> cites analysis showing </w:t>
            </w:r>
            <w:r w:rsidRPr="00DA2E93">
              <w:rPr>
                <w:rFonts w:ascii="Arial" w:hAnsi="Arial" w:cs="Arial"/>
                <w:b/>
                <w:bCs/>
                <w:color w:val="000000" w:themeColor="text1"/>
                <w:sz w:val="16"/>
                <w:szCs w:val="16"/>
              </w:rPr>
              <w:t>destroyed buildings were overestimated by about 92% in a Humanitarian OpenStreetMap campaign</w:t>
            </w:r>
            <w:r w:rsidRPr="00C85324">
              <w:rPr>
                <w:rFonts w:ascii="Arial" w:hAnsi="Arial" w:cs="Arial"/>
                <w:color w:val="000000" w:themeColor="text1"/>
                <w:sz w:val="16"/>
                <w:szCs w:val="16"/>
              </w:rPr>
              <w:t xml:space="preserve"> (Westrope et al., 2014).</w:t>
            </w:r>
          </w:p>
        </w:tc>
        <w:tc>
          <w:tcPr>
            <w:tcW w:w="4032" w:type="dxa"/>
          </w:tcPr>
          <w:p w14:paraId="050F67CC" w14:textId="72A4B21A"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 xml:space="preserve">NTL </w:t>
            </w:r>
            <w:r w:rsidR="009B5519">
              <w:rPr>
                <w:rFonts w:ascii="Arial" w:hAnsi="Arial" w:cs="Arial"/>
                <w:color w:val="000000" w:themeColor="text1"/>
                <w:sz w:val="16"/>
                <w:szCs w:val="16"/>
              </w:rPr>
              <w:t>impact</w:t>
            </w:r>
            <w:r w:rsidRPr="00C85324">
              <w:rPr>
                <w:rFonts w:ascii="Arial" w:hAnsi="Arial" w:cs="Arial"/>
                <w:color w:val="000000" w:themeColor="text1"/>
                <w:sz w:val="16"/>
                <w:szCs w:val="16"/>
              </w:rPr>
              <w:t xml:space="preserve"> magnitude should not be assumed to equal structural damage magnitude. </w:t>
            </w:r>
            <w:r w:rsidRPr="00DA2E93">
              <w:rPr>
                <w:rFonts w:ascii="Arial" w:hAnsi="Arial" w:cs="Arial"/>
                <w:b/>
                <w:bCs/>
                <w:color w:val="000000" w:themeColor="text1"/>
                <w:sz w:val="16"/>
                <w:szCs w:val="16"/>
              </w:rPr>
              <w:t>A blackout can be severe without universal building destruction, and vice versa.</w:t>
            </w:r>
          </w:p>
        </w:tc>
      </w:tr>
      <w:tr w:rsidR="00A37B8A" w:rsidRPr="00C85324" w14:paraId="0CB644D5" w14:textId="77777777" w:rsidTr="005A5EBA">
        <w:trPr>
          <w:cantSplit/>
          <w:jc w:val="center"/>
        </w:trPr>
        <w:tc>
          <w:tcPr>
            <w:tcW w:w="2088" w:type="dxa"/>
          </w:tcPr>
          <w:p w14:paraId="16EBBFCA"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Image availability and cost</w:t>
            </w:r>
          </w:p>
        </w:tc>
        <w:tc>
          <w:tcPr>
            <w:tcW w:w="4464" w:type="dxa"/>
          </w:tcPr>
          <w:p w14:paraId="6D295BB5"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 xml:space="preserve">Very high-resolution images are </w:t>
            </w:r>
            <w:proofErr w:type="gramStart"/>
            <w:r w:rsidRPr="00C85324">
              <w:rPr>
                <w:rFonts w:ascii="Arial" w:hAnsi="Arial" w:cs="Arial"/>
                <w:color w:val="000000" w:themeColor="text1"/>
                <w:sz w:val="16"/>
                <w:szCs w:val="16"/>
              </w:rPr>
              <w:t>expensive</w:t>
            </w:r>
            <w:proofErr w:type="gramEnd"/>
            <w:r w:rsidRPr="00C85324">
              <w:rPr>
                <w:rFonts w:ascii="Arial" w:hAnsi="Arial" w:cs="Arial"/>
                <w:color w:val="000000" w:themeColor="text1"/>
                <w:sz w:val="16"/>
                <w:szCs w:val="16"/>
              </w:rPr>
              <w:t xml:space="preserve"> and catalogues are incomplete for remote communities. The study could not cover all 100 </w:t>
            </w:r>
            <w:proofErr w:type="spellStart"/>
            <w:r w:rsidRPr="00C85324">
              <w:rPr>
                <w:rFonts w:ascii="Arial" w:hAnsi="Arial" w:cs="Arial"/>
                <w:color w:val="000000" w:themeColor="text1"/>
                <w:sz w:val="16"/>
                <w:szCs w:val="16"/>
              </w:rPr>
              <w:t>DEval</w:t>
            </w:r>
            <w:proofErr w:type="spellEnd"/>
            <w:r w:rsidRPr="00C85324">
              <w:rPr>
                <w:rFonts w:ascii="Arial" w:hAnsi="Arial" w:cs="Arial"/>
                <w:color w:val="000000" w:themeColor="text1"/>
                <w:sz w:val="16"/>
                <w:szCs w:val="16"/>
              </w:rPr>
              <w:t xml:space="preserve"> municipalities because of cost and image limitations.</w:t>
            </w:r>
          </w:p>
        </w:tc>
        <w:tc>
          <w:tcPr>
            <w:tcW w:w="4032" w:type="dxa"/>
          </w:tcPr>
          <w:p w14:paraId="66B018DA"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 xml:space="preserve">Daily VIIRS is attractive because it is free, systematic, and long-term, but the trade-off is </w:t>
            </w:r>
            <w:r w:rsidRPr="00DA2E93">
              <w:rPr>
                <w:rFonts w:ascii="Arial" w:hAnsi="Arial" w:cs="Arial"/>
                <w:b/>
                <w:bCs/>
                <w:color w:val="000000" w:themeColor="text1"/>
                <w:sz w:val="16"/>
                <w:szCs w:val="16"/>
              </w:rPr>
              <w:t>coarser spatial detail</w:t>
            </w:r>
            <w:r w:rsidRPr="00C85324">
              <w:rPr>
                <w:rFonts w:ascii="Arial" w:hAnsi="Arial" w:cs="Arial"/>
                <w:color w:val="000000" w:themeColor="text1"/>
                <w:sz w:val="16"/>
                <w:szCs w:val="16"/>
              </w:rPr>
              <w:t xml:space="preserve"> and stronger observability constraints.</w:t>
            </w:r>
          </w:p>
        </w:tc>
      </w:tr>
      <w:tr w:rsidR="00A37B8A" w:rsidRPr="00C85324" w14:paraId="02A2406D" w14:textId="77777777" w:rsidTr="005A5EBA">
        <w:trPr>
          <w:cantSplit/>
          <w:jc w:val="center"/>
        </w:trPr>
        <w:tc>
          <w:tcPr>
            <w:tcW w:w="2088" w:type="dxa"/>
          </w:tcPr>
          <w:p w14:paraId="477B467E"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 xml:space="preserve">Off-nadir and </w:t>
            </w:r>
            <w:proofErr w:type="spellStart"/>
            <w:r w:rsidRPr="00C85324">
              <w:rPr>
                <w:rFonts w:ascii="Arial" w:hAnsi="Arial" w:cs="Arial"/>
                <w:color w:val="000000" w:themeColor="text1"/>
                <w:sz w:val="16"/>
                <w:szCs w:val="16"/>
              </w:rPr>
              <w:t>georegistration</w:t>
            </w:r>
            <w:proofErr w:type="spellEnd"/>
            <w:r w:rsidRPr="00C85324">
              <w:rPr>
                <w:rFonts w:ascii="Arial" w:hAnsi="Arial" w:cs="Arial"/>
                <w:color w:val="000000" w:themeColor="text1"/>
                <w:sz w:val="16"/>
                <w:szCs w:val="16"/>
              </w:rPr>
              <w:t xml:space="preserve"> errors</w:t>
            </w:r>
          </w:p>
        </w:tc>
        <w:tc>
          <w:tcPr>
            <w:tcW w:w="4464" w:type="dxa"/>
          </w:tcPr>
          <w:p w14:paraId="5F4C2291"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Immediate post-event images often have large off-nadir angles, causing errors for vertical features and pixel-by-pixel comparisons.</w:t>
            </w:r>
          </w:p>
        </w:tc>
        <w:tc>
          <w:tcPr>
            <w:tcW w:w="4032" w:type="dxa"/>
          </w:tcPr>
          <w:p w14:paraId="06D709DE"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NTL reduces fine geometric issues but introduces other reliability problems: cloud cover, quality flags, lunar/atmospheric effects, and gap filling.</w:t>
            </w:r>
          </w:p>
        </w:tc>
      </w:tr>
      <w:tr w:rsidR="00A37B8A" w:rsidRPr="00C85324" w14:paraId="6877925A" w14:textId="77777777" w:rsidTr="005A5EBA">
        <w:trPr>
          <w:cantSplit/>
          <w:jc w:val="center"/>
        </w:trPr>
        <w:tc>
          <w:tcPr>
            <w:tcW w:w="2088" w:type="dxa"/>
          </w:tcPr>
          <w:p w14:paraId="258E409C"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Classification uncertainty</w:t>
            </w:r>
          </w:p>
        </w:tc>
        <w:tc>
          <w:tcPr>
            <w:tcW w:w="4464" w:type="dxa"/>
          </w:tcPr>
          <w:p w14:paraId="5D515E30"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Land use classes such as</w:t>
            </w:r>
            <w:r w:rsidRPr="00E73810">
              <w:rPr>
                <w:rFonts w:ascii="Arial" w:hAnsi="Arial" w:cs="Arial"/>
                <w:b/>
                <w:bCs/>
                <w:color w:val="000000" w:themeColor="text1"/>
                <w:sz w:val="16"/>
                <w:szCs w:val="16"/>
              </w:rPr>
              <w:t xml:space="preserve"> informal settlements, industry, crop/tree types, and rubble are difficult to separate reliably</w:t>
            </w:r>
            <w:r w:rsidRPr="00C85324">
              <w:rPr>
                <w:rFonts w:ascii="Arial" w:hAnsi="Arial" w:cs="Arial"/>
                <w:color w:val="000000" w:themeColor="text1"/>
                <w:sz w:val="16"/>
                <w:szCs w:val="16"/>
              </w:rPr>
              <w:t>, especially with shadows or mixed classes.</w:t>
            </w:r>
          </w:p>
        </w:tc>
        <w:tc>
          <w:tcPr>
            <w:tcW w:w="4032" w:type="dxa"/>
          </w:tcPr>
          <w:p w14:paraId="15974D27"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 xml:space="preserve">GHSL classes should be used as stable </w:t>
            </w:r>
            <w:proofErr w:type="spellStart"/>
            <w:r w:rsidRPr="00C85324">
              <w:rPr>
                <w:rFonts w:ascii="Arial" w:hAnsi="Arial" w:cs="Arial"/>
                <w:color w:val="000000" w:themeColor="text1"/>
                <w:sz w:val="16"/>
                <w:szCs w:val="16"/>
              </w:rPr>
              <w:t>stratifiers</w:t>
            </w:r>
            <w:proofErr w:type="spellEnd"/>
            <w:r w:rsidRPr="00C85324">
              <w:rPr>
                <w:rFonts w:ascii="Arial" w:hAnsi="Arial" w:cs="Arial"/>
                <w:color w:val="000000" w:themeColor="text1"/>
                <w:sz w:val="16"/>
                <w:szCs w:val="16"/>
              </w:rPr>
              <w:t>, not as precise ground truth for settlement function or damage.</w:t>
            </w:r>
          </w:p>
        </w:tc>
      </w:tr>
      <w:tr w:rsidR="00A37B8A" w:rsidRPr="00C85324" w14:paraId="1C5FF0EF" w14:textId="77777777" w:rsidTr="005A5EBA">
        <w:trPr>
          <w:cantSplit/>
          <w:jc w:val="center"/>
        </w:trPr>
        <w:tc>
          <w:tcPr>
            <w:tcW w:w="2088" w:type="dxa"/>
          </w:tcPr>
          <w:p w14:paraId="4E3687F2"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Recovery as resilience assumption</w:t>
            </w:r>
          </w:p>
        </w:tc>
        <w:tc>
          <w:tcPr>
            <w:tcW w:w="4464" w:type="dxa"/>
          </w:tcPr>
          <w:p w14:paraId="1D0A356B" w14:textId="77777777" w:rsidR="00A37B8A" w:rsidRPr="00456167" w:rsidRDefault="00A37B8A" w:rsidP="005A5EBA">
            <w:pPr>
              <w:rPr>
                <w:rFonts w:ascii="Arial" w:hAnsi="Arial" w:cs="Arial"/>
                <w:b/>
                <w:bCs/>
                <w:color w:val="000000" w:themeColor="text1"/>
                <w:sz w:val="16"/>
                <w:szCs w:val="16"/>
              </w:rPr>
            </w:pPr>
            <w:r w:rsidRPr="00456167">
              <w:rPr>
                <w:rFonts w:ascii="Arial" w:hAnsi="Arial" w:cs="Arial"/>
                <w:b/>
                <w:bCs/>
                <w:color w:val="000000" w:themeColor="text1"/>
                <w:sz w:val="16"/>
                <w:szCs w:val="16"/>
              </w:rPr>
              <w:t xml:space="preserve">The hypothesis that resilient communities recover faster was not confirmed. </w:t>
            </w:r>
            <w:r w:rsidRPr="00456167">
              <w:rPr>
                <w:rFonts w:ascii="Arial" w:hAnsi="Arial" w:cs="Arial"/>
                <w:b/>
                <w:bCs/>
                <w:color w:val="EE0000"/>
                <w:sz w:val="16"/>
                <w:szCs w:val="16"/>
              </w:rPr>
              <w:t>Slower recovery may indicate stricter planning or higher quality rebuilding.</w:t>
            </w:r>
          </w:p>
        </w:tc>
        <w:tc>
          <w:tcPr>
            <w:tcW w:w="4032" w:type="dxa"/>
          </w:tcPr>
          <w:p w14:paraId="2BB00FEE" w14:textId="77777777" w:rsidR="00A37B8A" w:rsidRPr="00456167" w:rsidRDefault="00A37B8A" w:rsidP="005A5EBA">
            <w:pPr>
              <w:rPr>
                <w:rFonts w:ascii="Arial" w:hAnsi="Arial" w:cs="Arial"/>
                <w:b/>
                <w:bCs/>
                <w:color w:val="000000" w:themeColor="text1"/>
                <w:sz w:val="16"/>
                <w:szCs w:val="16"/>
              </w:rPr>
            </w:pPr>
            <w:r w:rsidRPr="00456167">
              <w:rPr>
                <w:rFonts w:ascii="Arial" w:hAnsi="Arial" w:cs="Arial"/>
                <w:b/>
                <w:bCs/>
                <w:color w:val="000000" w:themeColor="text1"/>
                <w:sz w:val="16"/>
                <w:szCs w:val="16"/>
              </w:rPr>
              <w:t>NTL rebound speed is not automatically resilience. A fast return to baseline may reflect temporary generators, commercial concentration, or limited damage; slower return may reflect safer rebuilding.</w:t>
            </w:r>
          </w:p>
        </w:tc>
      </w:tr>
      <w:tr w:rsidR="00A37B8A" w:rsidRPr="00C85324" w14:paraId="7BE5AD31" w14:textId="77777777" w:rsidTr="005A5EBA">
        <w:trPr>
          <w:cantSplit/>
          <w:jc w:val="center"/>
        </w:trPr>
        <w:tc>
          <w:tcPr>
            <w:tcW w:w="2088" w:type="dxa"/>
          </w:tcPr>
          <w:p w14:paraId="27AAC1A4"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Remote sensing explains what, not why</w:t>
            </w:r>
          </w:p>
        </w:tc>
        <w:tc>
          <w:tcPr>
            <w:tcW w:w="4464" w:type="dxa"/>
          </w:tcPr>
          <w:p w14:paraId="5CD368A0"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 xml:space="preserve">RS described spatially variable recovery but could not explain the causes. </w:t>
            </w:r>
            <w:r w:rsidRPr="009C70B6">
              <w:rPr>
                <w:rFonts w:ascii="Arial" w:hAnsi="Arial" w:cs="Arial"/>
                <w:b/>
                <w:bCs/>
                <w:color w:val="EE0000"/>
                <w:sz w:val="16"/>
                <w:szCs w:val="16"/>
              </w:rPr>
              <w:t>Survey information was needed to interpret recovery patterns.</w:t>
            </w:r>
          </w:p>
        </w:tc>
        <w:tc>
          <w:tcPr>
            <w:tcW w:w="4032" w:type="dxa"/>
          </w:tcPr>
          <w:p w14:paraId="356196DF" w14:textId="77777777" w:rsidR="00A37B8A" w:rsidRPr="00C85324" w:rsidRDefault="00A37B8A" w:rsidP="005A5EBA">
            <w:pPr>
              <w:rPr>
                <w:rFonts w:ascii="Arial" w:hAnsi="Arial" w:cs="Arial"/>
                <w:color w:val="000000" w:themeColor="text1"/>
                <w:sz w:val="16"/>
                <w:szCs w:val="16"/>
              </w:rPr>
            </w:pPr>
            <w:r w:rsidRPr="00C85324">
              <w:rPr>
                <w:rFonts w:ascii="Arial" w:hAnsi="Arial" w:cs="Arial"/>
                <w:color w:val="000000" w:themeColor="text1"/>
                <w:sz w:val="16"/>
                <w:szCs w:val="16"/>
              </w:rPr>
              <w:t>RQ2 should pair NTL metrics with hazard exposure, settlement class, administrative context, and qualitative evidence where possible.</w:t>
            </w:r>
          </w:p>
        </w:tc>
      </w:tr>
    </w:tbl>
    <w:p w14:paraId="35323C3E" w14:textId="77777777" w:rsidR="00A37B8A" w:rsidRPr="00D87CEC" w:rsidRDefault="00A37B8A" w:rsidP="00A37B8A">
      <w:pPr>
        <w:rPr>
          <w:rFonts w:ascii="Arial" w:hAnsi="Arial" w:cs="Arial"/>
          <w:color w:val="000000" w:themeColor="text1"/>
          <w:sz w:val="20"/>
          <w:szCs w:val="20"/>
        </w:rPr>
      </w:pPr>
    </w:p>
    <w:p w14:paraId="633DF1B6" w14:textId="77777777" w:rsidR="00A37B8A" w:rsidRPr="009C70B6" w:rsidRDefault="00A37B8A" w:rsidP="00A37B8A">
      <w:pPr>
        <w:pStyle w:val="Heading1"/>
        <w:rPr>
          <w:rFonts w:ascii="Arial" w:hAnsi="Arial" w:cs="Arial"/>
          <w:b/>
          <w:bCs/>
          <w:color w:val="000000" w:themeColor="text1"/>
          <w:sz w:val="20"/>
          <w:szCs w:val="20"/>
        </w:rPr>
      </w:pPr>
      <w:bookmarkStart w:id="19" w:name="_Toc234318918"/>
      <w:r w:rsidRPr="009C70B6">
        <w:rPr>
          <w:rFonts w:ascii="Arial" w:hAnsi="Arial" w:cs="Arial"/>
          <w:b/>
          <w:bCs/>
          <w:color w:val="000000" w:themeColor="text1"/>
          <w:sz w:val="20"/>
          <w:szCs w:val="20"/>
        </w:rPr>
        <w:t>4. What NTL and GHSL can and cannot represent</w:t>
      </w:r>
      <w:bookmarkEnd w:id="19"/>
    </w:p>
    <w:p w14:paraId="5A6EAF21" w14:textId="77777777" w:rsidR="00A37B8A" w:rsidRPr="009C70B6" w:rsidRDefault="00A37B8A" w:rsidP="00A37B8A">
      <w:pPr>
        <w:pStyle w:val="Heading2"/>
        <w:rPr>
          <w:rFonts w:ascii="Arial" w:hAnsi="Arial" w:cs="Arial"/>
          <w:b/>
          <w:bCs/>
          <w:color w:val="000000" w:themeColor="text1"/>
          <w:sz w:val="20"/>
          <w:szCs w:val="20"/>
        </w:rPr>
      </w:pPr>
      <w:bookmarkStart w:id="20" w:name="_Toc234318919"/>
      <w:r w:rsidRPr="009C70B6">
        <w:rPr>
          <w:rFonts w:ascii="Arial" w:hAnsi="Arial" w:cs="Arial"/>
          <w:b/>
          <w:bCs/>
          <w:color w:val="000000" w:themeColor="text1"/>
          <w:sz w:val="20"/>
          <w:szCs w:val="20"/>
        </w:rPr>
        <w:t>4.1 Proxy ladder for reliability-qualified nighttime lights</w:t>
      </w:r>
      <w:bookmarkEnd w:id="20"/>
    </w:p>
    <w:tbl>
      <w:tblPr>
        <w:tblStyle w:val="TableGrid"/>
        <w:tblW w:w="0" w:type="auto"/>
        <w:jc w:val="center"/>
        <w:tblLook w:val="04A0" w:firstRow="1" w:lastRow="0" w:firstColumn="1" w:lastColumn="0" w:noHBand="0" w:noVBand="1"/>
      </w:tblPr>
      <w:tblGrid>
        <w:gridCol w:w="1656"/>
        <w:gridCol w:w="2720"/>
        <w:gridCol w:w="2064"/>
        <w:gridCol w:w="2576"/>
      </w:tblGrid>
      <w:tr w:rsidR="00A37B8A" w:rsidRPr="009C70B6" w14:paraId="53F1941B" w14:textId="77777777" w:rsidTr="005A5EBA">
        <w:trPr>
          <w:cantSplit/>
          <w:tblHeader/>
          <w:jc w:val="center"/>
        </w:trPr>
        <w:tc>
          <w:tcPr>
            <w:tcW w:w="1944" w:type="dxa"/>
            <w:shd w:val="clear" w:color="auto" w:fill="D9EAF7"/>
          </w:tcPr>
          <w:p w14:paraId="634160EC" w14:textId="77777777" w:rsidR="00A37B8A" w:rsidRPr="009C70B6" w:rsidRDefault="00A37B8A" w:rsidP="005A5EBA">
            <w:pPr>
              <w:rPr>
                <w:rFonts w:ascii="Arial" w:hAnsi="Arial" w:cs="Arial"/>
                <w:color w:val="000000" w:themeColor="text1"/>
                <w:sz w:val="16"/>
                <w:szCs w:val="16"/>
              </w:rPr>
            </w:pPr>
            <w:r w:rsidRPr="009C70B6">
              <w:rPr>
                <w:rFonts w:ascii="Arial" w:hAnsi="Arial" w:cs="Arial"/>
                <w:b/>
                <w:color w:val="000000" w:themeColor="text1"/>
                <w:sz w:val="16"/>
                <w:szCs w:val="16"/>
              </w:rPr>
              <w:t>Proxy level</w:t>
            </w:r>
          </w:p>
        </w:tc>
        <w:tc>
          <w:tcPr>
            <w:tcW w:w="3384" w:type="dxa"/>
            <w:shd w:val="clear" w:color="auto" w:fill="D9EAF7"/>
          </w:tcPr>
          <w:p w14:paraId="5E303911" w14:textId="77777777" w:rsidR="00A37B8A" w:rsidRPr="009C70B6" w:rsidRDefault="00A37B8A" w:rsidP="005A5EBA">
            <w:pPr>
              <w:rPr>
                <w:rFonts w:ascii="Arial" w:hAnsi="Arial" w:cs="Arial"/>
                <w:color w:val="000000" w:themeColor="text1"/>
                <w:sz w:val="16"/>
                <w:szCs w:val="16"/>
              </w:rPr>
            </w:pPr>
            <w:r w:rsidRPr="009C70B6">
              <w:rPr>
                <w:rFonts w:ascii="Arial" w:hAnsi="Arial" w:cs="Arial"/>
                <w:b/>
                <w:color w:val="000000" w:themeColor="text1"/>
                <w:sz w:val="16"/>
                <w:szCs w:val="16"/>
              </w:rPr>
              <w:t>Object</w:t>
            </w:r>
          </w:p>
        </w:tc>
        <w:tc>
          <w:tcPr>
            <w:tcW w:w="2520" w:type="dxa"/>
            <w:shd w:val="clear" w:color="auto" w:fill="D9EAF7"/>
          </w:tcPr>
          <w:p w14:paraId="7B0A1A43" w14:textId="77777777" w:rsidR="00A37B8A" w:rsidRPr="009C70B6" w:rsidRDefault="00A37B8A" w:rsidP="005A5EBA">
            <w:pPr>
              <w:rPr>
                <w:rFonts w:ascii="Arial" w:hAnsi="Arial" w:cs="Arial"/>
                <w:color w:val="000000" w:themeColor="text1"/>
                <w:sz w:val="16"/>
                <w:szCs w:val="16"/>
              </w:rPr>
            </w:pPr>
            <w:r w:rsidRPr="009C70B6">
              <w:rPr>
                <w:rFonts w:ascii="Arial" w:hAnsi="Arial" w:cs="Arial"/>
                <w:b/>
                <w:color w:val="000000" w:themeColor="text1"/>
                <w:sz w:val="16"/>
                <w:szCs w:val="16"/>
              </w:rPr>
              <w:t>Strength of inference</w:t>
            </w:r>
          </w:p>
        </w:tc>
        <w:tc>
          <w:tcPr>
            <w:tcW w:w="3096" w:type="dxa"/>
            <w:shd w:val="clear" w:color="auto" w:fill="D9EAF7"/>
          </w:tcPr>
          <w:p w14:paraId="4D9E7B6B" w14:textId="77777777" w:rsidR="00A37B8A" w:rsidRPr="009C70B6" w:rsidRDefault="00A37B8A" w:rsidP="005A5EBA">
            <w:pPr>
              <w:rPr>
                <w:rFonts w:ascii="Arial" w:hAnsi="Arial" w:cs="Arial"/>
                <w:color w:val="000000" w:themeColor="text1"/>
                <w:sz w:val="16"/>
                <w:szCs w:val="16"/>
              </w:rPr>
            </w:pPr>
            <w:r w:rsidRPr="009C70B6">
              <w:rPr>
                <w:rFonts w:ascii="Arial" w:hAnsi="Arial" w:cs="Arial"/>
                <w:b/>
                <w:color w:val="000000" w:themeColor="text1"/>
                <w:sz w:val="16"/>
                <w:szCs w:val="16"/>
              </w:rPr>
              <w:t>Example RQ2 output</w:t>
            </w:r>
          </w:p>
        </w:tc>
      </w:tr>
      <w:tr w:rsidR="00A37B8A" w:rsidRPr="009C70B6" w14:paraId="35C44965" w14:textId="77777777" w:rsidTr="005A5EBA">
        <w:trPr>
          <w:cantSplit/>
          <w:jc w:val="center"/>
        </w:trPr>
        <w:tc>
          <w:tcPr>
            <w:tcW w:w="1944" w:type="dxa"/>
          </w:tcPr>
          <w:p w14:paraId="75CBC0A6"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Observed variable</w:t>
            </w:r>
          </w:p>
        </w:tc>
        <w:tc>
          <w:tcPr>
            <w:tcW w:w="3384" w:type="dxa"/>
          </w:tcPr>
          <w:p w14:paraId="24AA8F47"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DNB-BRDF nighttime radiance under valid observation conditions.</w:t>
            </w:r>
          </w:p>
        </w:tc>
        <w:tc>
          <w:tcPr>
            <w:tcW w:w="2520" w:type="dxa"/>
          </w:tcPr>
          <w:p w14:paraId="3E474AB8"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Direct satellite measurement after quality screening.</w:t>
            </w:r>
          </w:p>
        </w:tc>
        <w:tc>
          <w:tcPr>
            <w:tcW w:w="3096" w:type="dxa"/>
          </w:tcPr>
          <w:p w14:paraId="500A49F6"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Radiance recorded when MQF == 0 and sufficient valid pixels exist.</w:t>
            </w:r>
          </w:p>
        </w:tc>
      </w:tr>
      <w:tr w:rsidR="00A37B8A" w:rsidRPr="009C70B6" w14:paraId="67929D9A" w14:textId="77777777" w:rsidTr="005A5EBA">
        <w:trPr>
          <w:cantSplit/>
          <w:jc w:val="center"/>
        </w:trPr>
        <w:tc>
          <w:tcPr>
            <w:tcW w:w="1944" w:type="dxa"/>
          </w:tcPr>
          <w:p w14:paraId="4640782A"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Immediate proxy</w:t>
            </w:r>
          </w:p>
        </w:tc>
        <w:tc>
          <w:tcPr>
            <w:tcW w:w="3384" w:type="dxa"/>
          </w:tcPr>
          <w:p w14:paraId="324EC03F"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Electricity-mediated outdoor/nighttime lighting activity.</w:t>
            </w:r>
          </w:p>
        </w:tc>
        <w:tc>
          <w:tcPr>
            <w:tcW w:w="2520" w:type="dxa"/>
          </w:tcPr>
          <w:p w14:paraId="1231F453"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Strong but context-dependent proxy.</w:t>
            </w:r>
          </w:p>
        </w:tc>
        <w:tc>
          <w:tcPr>
            <w:tcW w:w="3096" w:type="dxa"/>
          </w:tcPr>
          <w:p w14:paraId="2176D9EA"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Outage/restoration, lit infrastructure, urban activity, lighting intensity.</w:t>
            </w:r>
          </w:p>
        </w:tc>
      </w:tr>
      <w:tr w:rsidR="00A37B8A" w:rsidRPr="009C70B6" w14:paraId="450B7CA8" w14:textId="77777777" w:rsidTr="005A5EBA">
        <w:trPr>
          <w:cantSplit/>
          <w:jc w:val="center"/>
        </w:trPr>
        <w:tc>
          <w:tcPr>
            <w:tcW w:w="1944" w:type="dxa"/>
          </w:tcPr>
          <w:p w14:paraId="7EB5149A"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Intermediate proxy</w:t>
            </w:r>
          </w:p>
        </w:tc>
        <w:tc>
          <w:tcPr>
            <w:tcW w:w="3384" w:type="dxa"/>
          </w:tcPr>
          <w:p w14:paraId="03E45B39"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Functional disruption and return of activity.</w:t>
            </w:r>
          </w:p>
        </w:tc>
        <w:tc>
          <w:tcPr>
            <w:tcW w:w="2520" w:type="dxa"/>
          </w:tcPr>
          <w:p w14:paraId="6A8C562C"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Moderate proxy.</w:t>
            </w:r>
          </w:p>
        </w:tc>
        <w:tc>
          <w:tcPr>
            <w:tcW w:w="3096" w:type="dxa"/>
          </w:tcPr>
          <w:p w14:paraId="24D2C63B" w14:textId="5A1AAF65" w:rsidR="00A37B8A" w:rsidRPr="009C70B6" w:rsidRDefault="009B5519" w:rsidP="005A5EBA">
            <w:pPr>
              <w:rPr>
                <w:rFonts w:ascii="Arial" w:hAnsi="Arial" w:cs="Arial"/>
                <w:color w:val="000000" w:themeColor="text1"/>
                <w:sz w:val="16"/>
                <w:szCs w:val="16"/>
              </w:rPr>
            </w:pPr>
            <w:r>
              <w:rPr>
                <w:rFonts w:ascii="Arial" w:hAnsi="Arial" w:cs="Arial"/>
                <w:color w:val="000000" w:themeColor="text1"/>
                <w:sz w:val="16"/>
                <w:szCs w:val="16"/>
              </w:rPr>
              <w:t>Impact</w:t>
            </w:r>
            <w:r w:rsidR="00A37B8A" w:rsidRPr="009C70B6">
              <w:rPr>
                <w:rFonts w:ascii="Arial" w:hAnsi="Arial" w:cs="Arial"/>
                <w:color w:val="000000" w:themeColor="text1"/>
                <w:sz w:val="16"/>
                <w:szCs w:val="16"/>
              </w:rPr>
              <w:t xml:space="preserve"> timing, magnitude, T50/T80/T90, recovery slope, persistence below baseline.</w:t>
            </w:r>
          </w:p>
        </w:tc>
      </w:tr>
      <w:tr w:rsidR="00A37B8A" w:rsidRPr="009C70B6" w14:paraId="311D1209" w14:textId="77777777" w:rsidTr="005A5EBA">
        <w:trPr>
          <w:cantSplit/>
          <w:jc w:val="center"/>
        </w:trPr>
        <w:tc>
          <w:tcPr>
            <w:tcW w:w="1944" w:type="dxa"/>
          </w:tcPr>
          <w:p w14:paraId="64BA0DD9"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High-level inference</w:t>
            </w:r>
          </w:p>
        </w:tc>
        <w:tc>
          <w:tcPr>
            <w:tcW w:w="3384" w:type="dxa"/>
          </w:tcPr>
          <w:p w14:paraId="50B22F59"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Economic recovery, social recovery, resilience.</w:t>
            </w:r>
          </w:p>
        </w:tc>
        <w:tc>
          <w:tcPr>
            <w:tcW w:w="2520" w:type="dxa"/>
          </w:tcPr>
          <w:p w14:paraId="5ECF4A4A"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Weak inference unless supported by external evidence.</w:t>
            </w:r>
          </w:p>
        </w:tc>
        <w:tc>
          <w:tcPr>
            <w:tcW w:w="3096" w:type="dxa"/>
          </w:tcPr>
          <w:p w14:paraId="5161D45F" w14:textId="77777777" w:rsidR="00A37B8A" w:rsidRPr="009C70B6" w:rsidRDefault="00A37B8A" w:rsidP="005A5EBA">
            <w:pPr>
              <w:rPr>
                <w:rFonts w:ascii="Arial" w:hAnsi="Arial" w:cs="Arial"/>
                <w:color w:val="000000" w:themeColor="text1"/>
                <w:sz w:val="16"/>
                <w:szCs w:val="16"/>
              </w:rPr>
            </w:pPr>
            <w:r w:rsidRPr="009C70B6">
              <w:rPr>
                <w:rFonts w:ascii="Arial" w:hAnsi="Arial" w:cs="Arial"/>
                <w:color w:val="000000" w:themeColor="text1"/>
                <w:sz w:val="16"/>
                <w:szCs w:val="16"/>
              </w:rPr>
              <w:t>Must be framed cautiously: “consistent with,” “suggests,” or “indicates,” not “proves.”</w:t>
            </w:r>
          </w:p>
        </w:tc>
      </w:tr>
    </w:tbl>
    <w:p w14:paraId="4349AEB9" w14:textId="77777777" w:rsidR="00A37B8A" w:rsidRPr="00D87CEC" w:rsidRDefault="00A37B8A" w:rsidP="00A37B8A">
      <w:pPr>
        <w:rPr>
          <w:rFonts w:ascii="Arial" w:hAnsi="Arial" w:cs="Arial"/>
          <w:color w:val="000000" w:themeColor="text1"/>
          <w:sz w:val="20"/>
          <w:szCs w:val="20"/>
        </w:rPr>
      </w:pPr>
    </w:p>
    <w:p w14:paraId="7CC0C5AC" w14:textId="77777777" w:rsidR="00A37B8A" w:rsidRPr="00BD665A" w:rsidRDefault="00A37B8A" w:rsidP="00A37B8A">
      <w:pPr>
        <w:pStyle w:val="Heading2"/>
        <w:rPr>
          <w:rFonts w:ascii="Arial" w:hAnsi="Arial" w:cs="Arial"/>
          <w:b/>
          <w:bCs/>
          <w:color w:val="000000" w:themeColor="text1"/>
          <w:sz w:val="20"/>
          <w:szCs w:val="20"/>
        </w:rPr>
      </w:pPr>
      <w:bookmarkStart w:id="21" w:name="_Toc234318920"/>
      <w:r w:rsidRPr="00BD665A">
        <w:rPr>
          <w:rFonts w:ascii="Arial" w:hAnsi="Arial" w:cs="Arial"/>
          <w:b/>
          <w:bCs/>
          <w:color w:val="000000" w:themeColor="text1"/>
          <w:sz w:val="20"/>
          <w:szCs w:val="20"/>
        </w:rPr>
        <w:t>4.2 What NTL can represent</w:t>
      </w:r>
      <w:bookmarkEnd w:id="21"/>
    </w:p>
    <w:p w14:paraId="0A6C48DB" w14:textId="77777777" w:rsidR="00A37B8A" w:rsidRPr="00BD665A" w:rsidRDefault="00A37B8A" w:rsidP="00A37B8A">
      <w:pPr>
        <w:pStyle w:val="ListBullet"/>
        <w:tabs>
          <w:tab w:val="num" w:pos="360"/>
        </w:tabs>
        <w:ind w:left="360" w:hanging="360"/>
        <w:rPr>
          <w:rFonts w:cs="Arial"/>
          <w:b/>
          <w:bCs/>
          <w:color w:val="000000" w:themeColor="text1"/>
          <w:szCs w:val="20"/>
        </w:rPr>
      </w:pPr>
      <w:r w:rsidRPr="00BD665A">
        <w:rPr>
          <w:rFonts w:cs="Arial"/>
          <w:b/>
          <w:bCs/>
          <w:color w:val="000000" w:themeColor="text1"/>
          <w:szCs w:val="20"/>
        </w:rPr>
        <w:t>Abrupt disaster-related disruption in observed nighttime radiance, especially blackouts or reductions in electricity-mediated activity.</w:t>
      </w:r>
    </w:p>
    <w:p w14:paraId="7733A64A" w14:textId="318ADBD8" w:rsidR="00A37B8A" w:rsidRPr="00D87CEC" w:rsidRDefault="00A37B8A" w:rsidP="00A37B8A">
      <w:pPr>
        <w:pStyle w:val="ListBullet"/>
        <w:tabs>
          <w:tab w:val="num" w:pos="360"/>
        </w:tabs>
        <w:ind w:left="360" w:hanging="360"/>
        <w:rPr>
          <w:rFonts w:cs="Arial"/>
          <w:color w:val="000000" w:themeColor="text1"/>
          <w:szCs w:val="20"/>
        </w:rPr>
      </w:pPr>
      <w:r w:rsidRPr="00BD665A">
        <w:rPr>
          <w:rFonts w:cs="Arial"/>
          <w:b/>
          <w:bCs/>
          <w:color w:val="000000" w:themeColor="text1"/>
          <w:szCs w:val="20"/>
        </w:rPr>
        <w:t xml:space="preserve">Relative timing of </w:t>
      </w:r>
      <w:r w:rsidR="009B5519" w:rsidRPr="00BD665A">
        <w:rPr>
          <w:rFonts w:cs="Arial"/>
          <w:b/>
          <w:bCs/>
          <w:color w:val="000000" w:themeColor="text1"/>
          <w:szCs w:val="20"/>
        </w:rPr>
        <w:t>impact</w:t>
      </w:r>
      <w:r w:rsidRPr="00BD665A">
        <w:rPr>
          <w:rFonts w:cs="Arial"/>
          <w:b/>
          <w:bCs/>
          <w:color w:val="000000" w:themeColor="text1"/>
          <w:szCs w:val="20"/>
        </w:rPr>
        <w:t xml:space="preserve"> and recovery</w:t>
      </w:r>
      <w:r w:rsidRPr="00D87CEC">
        <w:rPr>
          <w:rFonts w:cs="Arial"/>
          <w:color w:val="000000" w:themeColor="text1"/>
          <w:szCs w:val="20"/>
        </w:rPr>
        <w:t xml:space="preserve"> when valid observations exist around the event.</w:t>
      </w:r>
    </w:p>
    <w:p w14:paraId="137F4F95" w14:textId="77777777" w:rsidR="00A37B8A" w:rsidRPr="00D87CEC" w:rsidRDefault="00A37B8A" w:rsidP="00A37B8A">
      <w:pPr>
        <w:pStyle w:val="ListBullet"/>
        <w:tabs>
          <w:tab w:val="num" w:pos="360"/>
        </w:tabs>
        <w:ind w:left="360" w:hanging="360"/>
        <w:rPr>
          <w:rFonts w:cs="Arial"/>
          <w:color w:val="000000" w:themeColor="text1"/>
          <w:szCs w:val="20"/>
        </w:rPr>
      </w:pPr>
      <w:r w:rsidRPr="00BD665A">
        <w:rPr>
          <w:rFonts w:cs="Arial"/>
          <w:b/>
          <w:bCs/>
          <w:color w:val="000000" w:themeColor="text1"/>
          <w:szCs w:val="20"/>
        </w:rPr>
        <w:lastRenderedPageBreak/>
        <w:t>Partial functional recovery of electrified settlements</w:t>
      </w:r>
      <w:r w:rsidRPr="00D87CEC">
        <w:rPr>
          <w:rFonts w:cs="Arial"/>
          <w:color w:val="000000" w:themeColor="text1"/>
          <w:szCs w:val="20"/>
        </w:rPr>
        <w:t>, commercial cores, transport corridors, ports, and infrastructure-linked activity.</w:t>
      </w:r>
    </w:p>
    <w:p w14:paraId="161CD3C9" w14:textId="77777777" w:rsidR="00A37B8A" w:rsidRPr="00D87CEC" w:rsidRDefault="00A37B8A" w:rsidP="00A37B8A">
      <w:pPr>
        <w:pStyle w:val="ListBullet"/>
        <w:tabs>
          <w:tab w:val="num" w:pos="360"/>
        </w:tabs>
        <w:ind w:left="360" w:hanging="360"/>
        <w:rPr>
          <w:rFonts w:cs="Arial"/>
          <w:color w:val="000000" w:themeColor="text1"/>
          <w:szCs w:val="20"/>
        </w:rPr>
      </w:pPr>
      <w:r w:rsidRPr="00BD665A">
        <w:rPr>
          <w:rFonts w:cs="Arial"/>
          <w:b/>
          <w:bCs/>
          <w:color w:val="000000" w:themeColor="text1"/>
          <w:szCs w:val="20"/>
        </w:rPr>
        <w:t>Spatially differentiated recovery</w:t>
      </w:r>
      <w:r w:rsidRPr="00D87CEC">
        <w:rPr>
          <w:rFonts w:cs="Arial"/>
          <w:color w:val="000000" w:themeColor="text1"/>
          <w:szCs w:val="20"/>
        </w:rPr>
        <w:t xml:space="preserve"> across GHSL settlement classes, administrative units, and exposure zones.</w:t>
      </w:r>
    </w:p>
    <w:p w14:paraId="6AF57286" w14:textId="77777777" w:rsidR="00A37B8A" w:rsidRPr="00D87CEC" w:rsidRDefault="00A37B8A" w:rsidP="00A37B8A">
      <w:pPr>
        <w:pStyle w:val="ListBullet"/>
        <w:tabs>
          <w:tab w:val="num" w:pos="360"/>
        </w:tabs>
        <w:ind w:left="360" w:hanging="360"/>
        <w:rPr>
          <w:rFonts w:cs="Arial"/>
          <w:color w:val="000000" w:themeColor="text1"/>
          <w:szCs w:val="20"/>
        </w:rPr>
      </w:pPr>
      <w:r w:rsidRPr="00D87CEC">
        <w:rPr>
          <w:rFonts w:cs="Arial"/>
          <w:color w:val="000000" w:themeColor="text1"/>
          <w:szCs w:val="20"/>
        </w:rPr>
        <w:t>Uncertainty in recovery interpretation through valid-pixel coverage, missingness, MQF composition, and gap-filled divergence.</w:t>
      </w:r>
    </w:p>
    <w:p w14:paraId="65377AD5" w14:textId="77777777" w:rsidR="00A37B8A" w:rsidRPr="00BD665A" w:rsidRDefault="00A37B8A" w:rsidP="00A37B8A">
      <w:pPr>
        <w:pStyle w:val="Heading2"/>
        <w:rPr>
          <w:rFonts w:ascii="Arial" w:hAnsi="Arial" w:cs="Arial"/>
          <w:b/>
          <w:bCs/>
          <w:color w:val="000000" w:themeColor="text1"/>
          <w:sz w:val="20"/>
          <w:szCs w:val="20"/>
        </w:rPr>
      </w:pPr>
      <w:bookmarkStart w:id="22" w:name="_Toc234318921"/>
      <w:r w:rsidRPr="00BD665A">
        <w:rPr>
          <w:rFonts w:ascii="Arial" w:hAnsi="Arial" w:cs="Arial"/>
          <w:b/>
          <w:bCs/>
          <w:color w:val="000000" w:themeColor="text1"/>
          <w:sz w:val="20"/>
          <w:szCs w:val="20"/>
        </w:rPr>
        <w:t>4.3 What NTL cannot represent on its own</w:t>
      </w:r>
      <w:bookmarkEnd w:id="22"/>
    </w:p>
    <w:p w14:paraId="1C703CD6" w14:textId="77777777" w:rsidR="00A37B8A" w:rsidRPr="00D87CEC" w:rsidRDefault="00A37B8A" w:rsidP="00A37B8A">
      <w:pPr>
        <w:pStyle w:val="ListBullet"/>
        <w:tabs>
          <w:tab w:val="num" w:pos="360"/>
        </w:tabs>
        <w:ind w:left="360" w:hanging="360"/>
        <w:rPr>
          <w:rFonts w:cs="Arial"/>
          <w:color w:val="000000" w:themeColor="text1"/>
          <w:szCs w:val="20"/>
        </w:rPr>
      </w:pPr>
      <w:r w:rsidRPr="00D87CEC">
        <w:rPr>
          <w:rFonts w:cs="Arial"/>
          <w:color w:val="000000" w:themeColor="text1"/>
          <w:szCs w:val="20"/>
        </w:rPr>
        <w:t xml:space="preserve">Structural building damage, debris, rubble, roof damage, road </w:t>
      </w:r>
      <w:proofErr w:type="spellStart"/>
      <w:r w:rsidRPr="00D87CEC">
        <w:rPr>
          <w:rFonts w:cs="Arial"/>
          <w:color w:val="000000" w:themeColor="text1"/>
          <w:szCs w:val="20"/>
        </w:rPr>
        <w:t>passability</w:t>
      </w:r>
      <w:proofErr w:type="spellEnd"/>
      <w:r w:rsidRPr="00D87CEC">
        <w:rPr>
          <w:rFonts w:cs="Arial"/>
          <w:color w:val="000000" w:themeColor="text1"/>
          <w:szCs w:val="20"/>
        </w:rPr>
        <w:t>, bridge reconstruction, or housing quality.</w:t>
      </w:r>
    </w:p>
    <w:p w14:paraId="18DA9019" w14:textId="77777777" w:rsidR="00A37B8A" w:rsidRPr="00D87CEC" w:rsidRDefault="00A37B8A" w:rsidP="00A37B8A">
      <w:pPr>
        <w:pStyle w:val="ListBullet"/>
        <w:tabs>
          <w:tab w:val="num" w:pos="360"/>
        </w:tabs>
        <w:ind w:left="360" w:hanging="360"/>
        <w:rPr>
          <w:rFonts w:cs="Arial"/>
          <w:color w:val="000000" w:themeColor="text1"/>
          <w:szCs w:val="20"/>
        </w:rPr>
      </w:pPr>
      <w:r w:rsidRPr="00D87CEC">
        <w:rPr>
          <w:rFonts w:cs="Arial"/>
          <w:color w:val="000000" w:themeColor="text1"/>
          <w:szCs w:val="20"/>
        </w:rPr>
        <w:t>Household welfare, food security, mortality, trauma, displacement satisfaction, social cohesion, or equity of recovery.</w:t>
      </w:r>
    </w:p>
    <w:p w14:paraId="13D6C4F5" w14:textId="77777777" w:rsidR="00A37B8A" w:rsidRPr="00D87CEC" w:rsidRDefault="00A37B8A" w:rsidP="00A37B8A">
      <w:pPr>
        <w:pStyle w:val="ListBullet"/>
        <w:tabs>
          <w:tab w:val="num" w:pos="360"/>
        </w:tabs>
        <w:ind w:left="360" w:hanging="360"/>
        <w:rPr>
          <w:rFonts w:cs="Arial"/>
          <w:color w:val="000000" w:themeColor="text1"/>
          <w:szCs w:val="20"/>
        </w:rPr>
      </w:pPr>
      <w:r w:rsidRPr="00D87CEC">
        <w:rPr>
          <w:rFonts w:cs="Arial"/>
          <w:color w:val="000000" w:themeColor="text1"/>
          <w:szCs w:val="20"/>
        </w:rPr>
        <w:t>The cause of recovery differences without hazard, governance, infrastructure, survey, or field context.</w:t>
      </w:r>
    </w:p>
    <w:p w14:paraId="314EB57C" w14:textId="77777777" w:rsidR="00A37B8A" w:rsidRPr="00D87CEC" w:rsidRDefault="00A37B8A" w:rsidP="00A37B8A">
      <w:pPr>
        <w:pStyle w:val="ListBullet"/>
        <w:tabs>
          <w:tab w:val="num" w:pos="360"/>
        </w:tabs>
        <w:ind w:left="360" w:hanging="360"/>
        <w:rPr>
          <w:rFonts w:cs="Arial"/>
          <w:color w:val="000000" w:themeColor="text1"/>
          <w:szCs w:val="20"/>
        </w:rPr>
      </w:pPr>
      <w:r w:rsidRPr="00D87CEC">
        <w:rPr>
          <w:rFonts w:cs="Arial"/>
          <w:color w:val="000000" w:themeColor="text1"/>
          <w:szCs w:val="20"/>
        </w:rPr>
        <w:t>Daytime economic activity, informal livelihoods, agriculture, fisheries, or non-electrified recovery processes that do not emit measurable nighttime light.</w:t>
      </w:r>
    </w:p>
    <w:p w14:paraId="33951EA7" w14:textId="77777777" w:rsidR="00A37B8A" w:rsidRPr="00D87CEC" w:rsidRDefault="00A37B8A" w:rsidP="00A37B8A">
      <w:pPr>
        <w:pStyle w:val="ListBullet"/>
        <w:tabs>
          <w:tab w:val="num" w:pos="360"/>
        </w:tabs>
        <w:ind w:left="360" w:hanging="360"/>
        <w:rPr>
          <w:rFonts w:cs="Arial"/>
          <w:color w:val="000000" w:themeColor="text1"/>
          <w:szCs w:val="20"/>
        </w:rPr>
      </w:pPr>
      <w:r w:rsidRPr="00D87CEC">
        <w:rPr>
          <w:rFonts w:cs="Arial"/>
          <w:color w:val="000000" w:themeColor="text1"/>
          <w:szCs w:val="20"/>
        </w:rPr>
        <w:t>Build back better, unless paired with independent evidence of reduced vulnerability or improved function.</w:t>
      </w:r>
    </w:p>
    <w:p w14:paraId="7AC5C6E1" w14:textId="77777777" w:rsidR="00A37B8A" w:rsidRPr="00A81B1E" w:rsidRDefault="00A37B8A" w:rsidP="00A37B8A">
      <w:pPr>
        <w:pStyle w:val="Heading2"/>
        <w:rPr>
          <w:rFonts w:ascii="Arial" w:hAnsi="Arial" w:cs="Arial"/>
          <w:b/>
          <w:bCs/>
          <w:color w:val="000000" w:themeColor="text1"/>
          <w:sz w:val="20"/>
          <w:szCs w:val="20"/>
        </w:rPr>
      </w:pPr>
      <w:bookmarkStart w:id="23" w:name="_Toc234318922"/>
      <w:r w:rsidRPr="00A81B1E">
        <w:rPr>
          <w:rFonts w:ascii="Arial" w:hAnsi="Arial" w:cs="Arial"/>
          <w:b/>
          <w:bCs/>
          <w:color w:val="000000" w:themeColor="text1"/>
          <w:sz w:val="20"/>
          <w:szCs w:val="20"/>
        </w:rPr>
        <w:t>4.4 What GHSL can and cannot represent</w:t>
      </w:r>
      <w:bookmarkEnd w:id="23"/>
    </w:p>
    <w:tbl>
      <w:tblPr>
        <w:tblStyle w:val="TableGrid"/>
        <w:tblW w:w="0" w:type="auto"/>
        <w:jc w:val="center"/>
        <w:tblLook w:val="04A0" w:firstRow="1" w:lastRow="0" w:firstColumn="1" w:lastColumn="0" w:noHBand="0" w:noVBand="1"/>
      </w:tblPr>
      <w:tblGrid>
        <w:gridCol w:w="1848"/>
        <w:gridCol w:w="7168"/>
      </w:tblGrid>
      <w:tr w:rsidR="00A37B8A" w:rsidRPr="00D87CEC" w14:paraId="04C61D07" w14:textId="77777777" w:rsidTr="005A5EBA">
        <w:trPr>
          <w:cantSplit/>
          <w:tblHeader/>
          <w:jc w:val="center"/>
        </w:trPr>
        <w:tc>
          <w:tcPr>
            <w:tcW w:w="2016" w:type="dxa"/>
            <w:shd w:val="clear" w:color="auto" w:fill="D9EAF7"/>
          </w:tcPr>
          <w:p w14:paraId="106B9A41"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GHSL role</w:t>
            </w:r>
          </w:p>
        </w:tc>
        <w:tc>
          <w:tcPr>
            <w:tcW w:w="8352" w:type="dxa"/>
            <w:shd w:val="clear" w:color="auto" w:fill="D9EAF7"/>
          </w:tcPr>
          <w:p w14:paraId="0B09747A"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Interpretation</w:t>
            </w:r>
          </w:p>
        </w:tc>
      </w:tr>
      <w:tr w:rsidR="00A37B8A" w:rsidRPr="00D87CEC" w14:paraId="01FFA316" w14:textId="77777777" w:rsidTr="005A5EBA">
        <w:trPr>
          <w:cantSplit/>
          <w:jc w:val="center"/>
        </w:trPr>
        <w:tc>
          <w:tcPr>
            <w:tcW w:w="2016" w:type="dxa"/>
          </w:tcPr>
          <w:p w14:paraId="3F544B91"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Can represent</w:t>
            </w:r>
          </w:p>
        </w:tc>
        <w:tc>
          <w:tcPr>
            <w:tcW w:w="8352" w:type="dxa"/>
          </w:tcPr>
          <w:p w14:paraId="1FE3D218"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A consistent spatial settlement morphology layer for stratifying NTL by urban center, dense built-up area, suburban/peri-urban, rural settlement, or low-density settlement classes.</w:t>
            </w:r>
          </w:p>
        </w:tc>
      </w:tr>
      <w:tr w:rsidR="00A37B8A" w:rsidRPr="00D87CEC" w14:paraId="67FE3474" w14:textId="77777777" w:rsidTr="005A5EBA">
        <w:trPr>
          <w:cantSplit/>
          <w:jc w:val="center"/>
        </w:trPr>
        <w:tc>
          <w:tcPr>
            <w:tcW w:w="2016" w:type="dxa"/>
          </w:tcPr>
          <w:p w14:paraId="47203797"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Can support</w:t>
            </w:r>
          </w:p>
        </w:tc>
        <w:tc>
          <w:tcPr>
            <w:tcW w:w="8352" w:type="dxa"/>
          </w:tcPr>
          <w:p w14:paraId="3A018954" w14:textId="77777777" w:rsidR="00A37B8A" w:rsidRPr="00D87CEC" w:rsidRDefault="00A37B8A" w:rsidP="005A5EBA">
            <w:pPr>
              <w:rPr>
                <w:rFonts w:ascii="Arial" w:hAnsi="Arial" w:cs="Arial"/>
                <w:color w:val="000000" w:themeColor="text1"/>
                <w:sz w:val="20"/>
                <w:szCs w:val="20"/>
              </w:rPr>
            </w:pPr>
            <w:r w:rsidRPr="00CA6E52">
              <w:rPr>
                <w:rFonts w:ascii="Arial" w:hAnsi="Arial" w:cs="Arial"/>
                <w:b/>
                <w:bCs/>
                <w:color w:val="000000" w:themeColor="text1"/>
                <w:sz w:val="20"/>
                <w:szCs w:val="20"/>
              </w:rPr>
              <w:t>Reducing mixed-pixel interpretation problems</w:t>
            </w:r>
            <w:r w:rsidRPr="00D87CEC">
              <w:rPr>
                <w:rFonts w:ascii="Arial" w:hAnsi="Arial" w:cs="Arial"/>
                <w:color w:val="000000" w:themeColor="text1"/>
                <w:sz w:val="20"/>
                <w:szCs w:val="20"/>
              </w:rPr>
              <w:t xml:space="preserve">; comparing NTL reliability across settlement types; separating dense/built-up settings from rural or dark areas; aligning with </w:t>
            </w:r>
            <w:proofErr w:type="spellStart"/>
            <w:r w:rsidRPr="00D87CEC">
              <w:rPr>
                <w:rFonts w:ascii="Arial" w:hAnsi="Arial" w:cs="Arial"/>
                <w:color w:val="000000" w:themeColor="text1"/>
                <w:sz w:val="20"/>
                <w:szCs w:val="20"/>
              </w:rPr>
              <w:t>Ghaffarian's</w:t>
            </w:r>
            <w:proofErr w:type="spellEnd"/>
            <w:r w:rsidRPr="00D87CEC">
              <w:rPr>
                <w:rFonts w:ascii="Arial" w:hAnsi="Arial" w:cs="Arial"/>
                <w:color w:val="000000" w:themeColor="text1"/>
                <w:sz w:val="20"/>
                <w:szCs w:val="20"/>
              </w:rPr>
              <w:t xml:space="preserve"> built-up and social proxy categories.</w:t>
            </w:r>
          </w:p>
        </w:tc>
      </w:tr>
      <w:tr w:rsidR="00A37B8A" w:rsidRPr="00D87CEC" w14:paraId="0E409BF3" w14:textId="77777777" w:rsidTr="005A5EBA">
        <w:trPr>
          <w:cantSplit/>
          <w:jc w:val="center"/>
        </w:trPr>
        <w:tc>
          <w:tcPr>
            <w:tcW w:w="2016" w:type="dxa"/>
          </w:tcPr>
          <w:p w14:paraId="1E2F3749"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Cannot represent</w:t>
            </w:r>
          </w:p>
        </w:tc>
        <w:tc>
          <w:tcPr>
            <w:tcW w:w="8352" w:type="dxa"/>
          </w:tcPr>
          <w:p w14:paraId="1468A9A3"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 xml:space="preserve">Damage, recovery, power status, household poverty, </w:t>
            </w:r>
            <w:r w:rsidRPr="00CA6E52">
              <w:rPr>
                <w:rFonts w:ascii="Arial" w:hAnsi="Arial" w:cs="Arial"/>
                <w:b/>
                <w:bCs/>
                <w:color w:val="000000" w:themeColor="text1"/>
                <w:sz w:val="20"/>
                <w:szCs w:val="20"/>
              </w:rPr>
              <w:t>informal settlement identity</w:t>
            </w:r>
            <w:r w:rsidRPr="00D87CEC">
              <w:rPr>
                <w:rFonts w:ascii="Arial" w:hAnsi="Arial" w:cs="Arial"/>
                <w:color w:val="000000" w:themeColor="text1"/>
                <w:sz w:val="20"/>
                <w:szCs w:val="20"/>
              </w:rPr>
              <w:t>, building function, or post-disaster service restoration by itself.</w:t>
            </w:r>
          </w:p>
        </w:tc>
      </w:tr>
      <w:tr w:rsidR="00A37B8A" w:rsidRPr="00D87CEC" w14:paraId="564E2C47" w14:textId="77777777" w:rsidTr="005A5EBA">
        <w:trPr>
          <w:cantSplit/>
          <w:jc w:val="center"/>
        </w:trPr>
        <w:tc>
          <w:tcPr>
            <w:tcW w:w="2016" w:type="dxa"/>
          </w:tcPr>
          <w:p w14:paraId="5FAB6290"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Best RQ2 role</w:t>
            </w:r>
          </w:p>
        </w:tc>
        <w:tc>
          <w:tcPr>
            <w:tcW w:w="8352" w:type="dxa"/>
          </w:tcPr>
          <w:p w14:paraId="4CF10B5F" w14:textId="77777777" w:rsidR="00A37B8A" w:rsidRPr="00D87CEC" w:rsidRDefault="00A37B8A" w:rsidP="005A5EBA">
            <w:pPr>
              <w:rPr>
                <w:rFonts w:ascii="Arial" w:hAnsi="Arial" w:cs="Arial"/>
                <w:color w:val="000000" w:themeColor="text1"/>
                <w:sz w:val="20"/>
                <w:szCs w:val="20"/>
              </w:rPr>
            </w:pPr>
            <w:r w:rsidRPr="00CA6E52">
              <w:rPr>
                <w:rFonts w:ascii="Arial" w:hAnsi="Arial" w:cs="Arial"/>
                <w:b/>
                <w:bCs/>
                <w:color w:val="000000" w:themeColor="text1"/>
                <w:sz w:val="20"/>
                <w:szCs w:val="20"/>
              </w:rPr>
              <w:t>Use GHSL as a stratification and interpretability layer</w:t>
            </w:r>
            <w:r w:rsidRPr="00D87CEC">
              <w:rPr>
                <w:rFonts w:ascii="Arial" w:hAnsi="Arial" w:cs="Arial"/>
                <w:color w:val="000000" w:themeColor="text1"/>
                <w:sz w:val="20"/>
                <w:szCs w:val="20"/>
              </w:rPr>
              <w:t>, not as the recovery outcome. The outcome remains reliability-qualified DNB-BRDF change relative to baseline.</w:t>
            </w:r>
          </w:p>
        </w:tc>
      </w:tr>
    </w:tbl>
    <w:p w14:paraId="100587CC" w14:textId="77777777" w:rsidR="00A37B8A" w:rsidRPr="00D87CEC" w:rsidRDefault="00A37B8A" w:rsidP="00A37B8A">
      <w:pPr>
        <w:rPr>
          <w:rFonts w:ascii="Arial" w:hAnsi="Arial" w:cs="Arial"/>
          <w:color w:val="000000" w:themeColor="text1"/>
          <w:sz w:val="20"/>
          <w:szCs w:val="20"/>
        </w:rPr>
      </w:pPr>
    </w:p>
    <w:p w14:paraId="3F375515" w14:textId="77777777" w:rsidR="00A37B8A" w:rsidRPr="00CA6E52" w:rsidRDefault="00A37B8A" w:rsidP="00A37B8A">
      <w:pPr>
        <w:pStyle w:val="Heading2"/>
        <w:rPr>
          <w:rFonts w:ascii="Arial" w:hAnsi="Arial" w:cs="Arial"/>
          <w:b/>
          <w:bCs/>
          <w:color w:val="000000" w:themeColor="text1"/>
          <w:sz w:val="20"/>
          <w:szCs w:val="20"/>
        </w:rPr>
      </w:pPr>
      <w:bookmarkStart w:id="24" w:name="_Toc234318923"/>
      <w:r w:rsidRPr="00CA6E52">
        <w:rPr>
          <w:rFonts w:ascii="Arial" w:hAnsi="Arial" w:cs="Arial"/>
          <w:b/>
          <w:bCs/>
          <w:color w:val="000000" w:themeColor="text1"/>
          <w:sz w:val="20"/>
          <w:szCs w:val="20"/>
        </w:rPr>
        <w:t>4.5 Proxy layers: social, natural, economic, and built-up relationships to NTL</w:t>
      </w:r>
      <w:bookmarkEnd w:id="24"/>
    </w:p>
    <w:tbl>
      <w:tblPr>
        <w:tblStyle w:val="TableGrid"/>
        <w:tblW w:w="0" w:type="auto"/>
        <w:jc w:val="center"/>
        <w:tblLook w:val="04A0" w:firstRow="1" w:lastRow="0" w:firstColumn="1" w:lastColumn="0" w:noHBand="0" w:noVBand="1"/>
      </w:tblPr>
      <w:tblGrid>
        <w:gridCol w:w="1645"/>
        <w:gridCol w:w="2487"/>
        <w:gridCol w:w="2498"/>
        <w:gridCol w:w="2386"/>
      </w:tblGrid>
      <w:tr w:rsidR="00A37B8A" w:rsidRPr="00D87CEC" w14:paraId="56AB6642" w14:textId="77777777" w:rsidTr="005A5EBA">
        <w:trPr>
          <w:cantSplit/>
          <w:tblHeader/>
          <w:jc w:val="center"/>
        </w:trPr>
        <w:tc>
          <w:tcPr>
            <w:tcW w:w="1800" w:type="dxa"/>
            <w:shd w:val="clear" w:color="auto" w:fill="D9EAF7"/>
          </w:tcPr>
          <w:p w14:paraId="48C7D467"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Layer</w:t>
            </w:r>
          </w:p>
        </w:tc>
        <w:tc>
          <w:tcPr>
            <w:tcW w:w="2880" w:type="dxa"/>
            <w:shd w:val="clear" w:color="auto" w:fill="D9EAF7"/>
          </w:tcPr>
          <w:p w14:paraId="352C6217"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Examples</w:t>
            </w:r>
          </w:p>
        </w:tc>
        <w:tc>
          <w:tcPr>
            <w:tcW w:w="3024" w:type="dxa"/>
            <w:shd w:val="clear" w:color="auto" w:fill="D9EAF7"/>
          </w:tcPr>
          <w:p w14:paraId="02BBCAB3"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Relationship to NTL</w:t>
            </w:r>
          </w:p>
        </w:tc>
        <w:tc>
          <w:tcPr>
            <w:tcW w:w="2880" w:type="dxa"/>
            <w:shd w:val="clear" w:color="auto" w:fill="D9EAF7"/>
          </w:tcPr>
          <w:p w14:paraId="795BED4C"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RQ2 treatment</w:t>
            </w:r>
          </w:p>
        </w:tc>
      </w:tr>
      <w:tr w:rsidR="00A37B8A" w:rsidRPr="00D87CEC" w14:paraId="7B2C05A3" w14:textId="77777777" w:rsidTr="005A5EBA">
        <w:trPr>
          <w:cantSplit/>
          <w:jc w:val="center"/>
        </w:trPr>
        <w:tc>
          <w:tcPr>
            <w:tcW w:w="1800" w:type="dxa"/>
          </w:tcPr>
          <w:p w14:paraId="087EE718"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Built-up layer</w:t>
            </w:r>
          </w:p>
        </w:tc>
        <w:tc>
          <w:tcPr>
            <w:tcW w:w="2880" w:type="dxa"/>
          </w:tcPr>
          <w:p w14:paraId="07743387"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Buildings, roads, impervious surfaces, settlement morphology.</w:t>
            </w:r>
          </w:p>
        </w:tc>
        <w:tc>
          <w:tcPr>
            <w:tcW w:w="3024" w:type="dxa"/>
          </w:tcPr>
          <w:p w14:paraId="0FE9712D"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NTL is emitted from built-up areas but does not detect structural form.</w:t>
            </w:r>
          </w:p>
        </w:tc>
        <w:tc>
          <w:tcPr>
            <w:tcW w:w="2880" w:type="dxa"/>
          </w:tcPr>
          <w:p w14:paraId="09A7887E"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Use GHSL masks and extents to control where NTL is sampled.</w:t>
            </w:r>
          </w:p>
        </w:tc>
      </w:tr>
      <w:tr w:rsidR="00A37B8A" w:rsidRPr="00D87CEC" w14:paraId="414DAEC7" w14:textId="77777777" w:rsidTr="005A5EBA">
        <w:trPr>
          <w:cantSplit/>
          <w:jc w:val="center"/>
        </w:trPr>
        <w:tc>
          <w:tcPr>
            <w:tcW w:w="1800" w:type="dxa"/>
          </w:tcPr>
          <w:p w14:paraId="62E1436F"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Economic layer</w:t>
            </w:r>
          </w:p>
        </w:tc>
        <w:tc>
          <w:tcPr>
            <w:tcW w:w="2880" w:type="dxa"/>
          </w:tcPr>
          <w:p w14:paraId="76E4F7E0"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Business activity, industry, ports, commercial cores, livelihood spaces.</w:t>
            </w:r>
          </w:p>
        </w:tc>
        <w:tc>
          <w:tcPr>
            <w:tcW w:w="3024" w:type="dxa"/>
          </w:tcPr>
          <w:p w14:paraId="4906448F"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NTL can indicate electricity-mediated activity and economic intensity, especially in urban areas.</w:t>
            </w:r>
          </w:p>
        </w:tc>
        <w:tc>
          <w:tcPr>
            <w:tcW w:w="2880" w:type="dxa"/>
          </w:tcPr>
          <w:p w14:paraId="10810947"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Interpret as activity proxy; avoid sector-specific claims without external data.</w:t>
            </w:r>
          </w:p>
        </w:tc>
      </w:tr>
      <w:tr w:rsidR="00A37B8A" w:rsidRPr="00D87CEC" w14:paraId="6788DAC6" w14:textId="77777777" w:rsidTr="005A5EBA">
        <w:trPr>
          <w:cantSplit/>
          <w:jc w:val="center"/>
        </w:trPr>
        <w:tc>
          <w:tcPr>
            <w:tcW w:w="1800" w:type="dxa"/>
          </w:tcPr>
          <w:p w14:paraId="5C36D4CB"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Social layer</w:t>
            </w:r>
          </w:p>
        </w:tc>
        <w:tc>
          <w:tcPr>
            <w:tcW w:w="2880" w:type="dxa"/>
          </w:tcPr>
          <w:p w14:paraId="3E8E5B0B"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Population, services, informal settlements, access to facilities.</w:t>
            </w:r>
          </w:p>
        </w:tc>
        <w:tc>
          <w:tcPr>
            <w:tcW w:w="3024" w:type="dxa"/>
          </w:tcPr>
          <w:p w14:paraId="76479307"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NTL can indicate lit presence and service-node activity but not welfare or equity.</w:t>
            </w:r>
          </w:p>
        </w:tc>
        <w:tc>
          <w:tcPr>
            <w:tcW w:w="2880" w:type="dxa"/>
          </w:tcPr>
          <w:p w14:paraId="32E0722C"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Report settlement-stratified NTL; pair with GHSL and census/hazard data where possible.</w:t>
            </w:r>
          </w:p>
        </w:tc>
      </w:tr>
      <w:tr w:rsidR="00A37B8A" w:rsidRPr="00D87CEC" w14:paraId="3F50C2A8" w14:textId="77777777" w:rsidTr="005A5EBA">
        <w:trPr>
          <w:cantSplit/>
          <w:jc w:val="center"/>
        </w:trPr>
        <w:tc>
          <w:tcPr>
            <w:tcW w:w="1800" w:type="dxa"/>
          </w:tcPr>
          <w:p w14:paraId="083DC123"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Natural layer</w:t>
            </w:r>
          </w:p>
        </w:tc>
        <w:tc>
          <w:tcPr>
            <w:tcW w:w="2880" w:type="dxa"/>
          </w:tcPr>
          <w:p w14:paraId="44272213"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Vegetation, crops, water, ecosystems, debris/floodwater.</w:t>
            </w:r>
          </w:p>
        </w:tc>
        <w:tc>
          <w:tcPr>
            <w:tcW w:w="3024" w:type="dxa"/>
          </w:tcPr>
          <w:p w14:paraId="2C52FBE2"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NTL is mostly indirect or irrelevant, except where environmental damage affects human lighting/activity.</w:t>
            </w:r>
          </w:p>
        </w:tc>
        <w:tc>
          <w:tcPr>
            <w:tcW w:w="2880" w:type="dxa"/>
          </w:tcPr>
          <w:p w14:paraId="0695E3CC"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Do not infer ecological recovery from radiance rebound.</w:t>
            </w:r>
          </w:p>
        </w:tc>
      </w:tr>
      <w:tr w:rsidR="00A37B8A" w:rsidRPr="00D87CEC" w14:paraId="71E7DF4A" w14:textId="77777777" w:rsidTr="005A5EBA">
        <w:trPr>
          <w:cantSplit/>
          <w:jc w:val="center"/>
        </w:trPr>
        <w:tc>
          <w:tcPr>
            <w:tcW w:w="1800" w:type="dxa"/>
          </w:tcPr>
          <w:p w14:paraId="18486DB1"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lastRenderedPageBreak/>
              <w:t>Observability layer</w:t>
            </w:r>
          </w:p>
        </w:tc>
        <w:tc>
          <w:tcPr>
            <w:tcW w:w="2880" w:type="dxa"/>
          </w:tcPr>
          <w:p w14:paraId="2DA4DDCB"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Whether the satellite saw the ground reliably.</w:t>
            </w:r>
          </w:p>
        </w:tc>
        <w:tc>
          <w:tcPr>
            <w:tcW w:w="3024" w:type="dxa"/>
          </w:tcPr>
          <w:p w14:paraId="28DD7AF5"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This controls all NTL interpretation.</w:t>
            </w:r>
          </w:p>
        </w:tc>
        <w:tc>
          <w:tcPr>
            <w:tcW w:w="2880" w:type="dxa"/>
          </w:tcPr>
          <w:p w14:paraId="53C2C40C"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MQF == 0, valid-pixel thresholds, and missingness metrics are mandatory before recovery metrics.</w:t>
            </w:r>
          </w:p>
        </w:tc>
      </w:tr>
    </w:tbl>
    <w:p w14:paraId="06B7A67C" w14:textId="77777777" w:rsidR="00A37B8A" w:rsidRPr="00C25508" w:rsidRDefault="00A37B8A" w:rsidP="00A37B8A">
      <w:pPr>
        <w:pStyle w:val="Heading1"/>
        <w:rPr>
          <w:rFonts w:ascii="Arial" w:hAnsi="Arial" w:cs="Arial"/>
          <w:b/>
          <w:bCs/>
          <w:color w:val="000000" w:themeColor="text1"/>
          <w:sz w:val="20"/>
          <w:szCs w:val="20"/>
        </w:rPr>
      </w:pPr>
      <w:bookmarkStart w:id="25" w:name="_Toc234318924"/>
      <w:r w:rsidRPr="00C25508">
        <w:rPr>
          <w:rFonts w:ascii="Arial" w:hAnsi="Arial" w:cs="Arial"/>
          <w:b/>
          <w:bCs/>
          <w:color w:val="000000" w:themeColor="text1"/>
          <w:sz w:val="20"/>
          <w:szCs w:val="20"/>
        </w:rPr>
        <w:t>5. How this thesis informs and sharpens RQ2 novelty</w:t>
      </w:r>
      <w:bookmarkEnd w:id="25"/>
    </w:p>
    <w:p w14:paraId="4E7AA462"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 xml:space="preserve">The thesis does not make RQ2 novel simply by showing that nighttime lights can be used for disaster assessment. It already acknowledges that NTL has been used for damage, recovery, and economic-impact analysis. The novelty is more specific: </w:t>
      </w:r>
      <w:r w:rsidRPr="00C25508">
        <w:rPr>
          <w:rFonts w:ascii="Arial" w:hAnsi="Arial" w:cs="Arial"/>
          <w:b/>
          <w:bCs/>
          <w:color w:val="000000" w:themeColor="text1"/>
          <w:sz w:val="20"/>
          <w:szCs w:val="20"/>
        </w:rPr>
        <w:t>reliability-qualified daily VIIRS Black Marble nighttime lights in cloud-impacted tropical disaster settings, stratified by settlement morphology, with uncertainty attached to every recovery metric.</w:t>
      </w:r>
    </w:p>
    <w:tbl>
      <w:tblPr>
        <w:tblStyle w:val="TableGrid"/>
        <w:tblW w:w="0" w:type="auto"/>
        <w:jc w:val="center"/>
        <w:tblLook w:val="04A0" w:firstRow="1" w:lastRow="0" w:firstColumn="1" w:lastColumn="0" w:noHBand="0" w:noVBand="1"/>
      </w:tblPr>
      <w:tblGrid>
        <w:gridCol w:w="4112"/>
        <w:gridCol w:w="4904"/>
      </w:tblGrid>
      <w:tr w:rsidR="00A37B8A" w:rsidRPr="00D87CEC" w14:paraId="5EC2D1BA" w14:textId="77777777" w:rsidTr="005A5EBA">
        <w:trPr>
          <w:cantSplit/>
          <w:tblHeader/>
          <w:jc w:val="center"/>
        </w:trPr>
        <w:tc>
          <w:tcPr>
            <w:tcW w:w="4752" w:type="dxa"/>
            <w:shd w:val="clear" w:color="auto" w:fill="D9EAF7"/>
          </w:tcPr>
          <w:p w14:paraId="52012C6D"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Thesis gap</w:t>
            </w:r>
          </w:p>
        </w:tc>
        <w:tc>
          <w:tcPr>
            <w:tcW w:w="5760" w:type="dxa"/>
            <w:shd w:val="clear" w:color="auto" w:fill="D9EAF7"/>
          </w:tcPr>
          <w:p w14:paraId="12122FDC"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RQ2 framing</w:t>
            </w:r>
          </w:p>
        </w:tc>
      </w:tr>
      <w:tr w:rsidR="00A37B8A" w:rsidRPr="00D87CEC" w14:paraId="5DB577FB" w14:textId="77777777" w:rsidTr="005A5EBA">
        <w:trPr>
          <w:cantSplit/>
          <w:jc w:val="center"/>
        </w:trPr>
        <w:tc>
          <w:tcPr>
            <w:tcW w:w="4752" w:type="dxa"/>
          </w:tcPr>
          <w:p w14:paraId="72F4BF5C" w14:textId="77777777" w:rsidR="00A37B8A" w:rsidRPr="00D87CEC" w:rsidRDefault="00A37B8A" w:rsidP="005A5EBA">
            <w:pPr>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gap: recovery is under-studied and </w:t>
            </w:r>
            <w:proofErr w:type="gramStart"/>
            <w:r w:rsidRPr="00D87CEC">
              <w:rPr>
                <w:rFonts w:ascii="Arial" w:hAnsi="Arial" w:cs="Arial"/>
                <w:color w:val="000000" w:themeColor="text1"/>
                <w:sz w:val="20"/>
                <w:szCs w:val="20"/>
              </w:rPr>
              <w:t>proxy-dependent</w:t>
            </w:r>
            <w:proofErr w:type="gramEnd"/>
            <w:r w:rsidRPr="00D87CEC">
              <w:rPr>
                <w:rFonts w:ascii="Arial" w:hAnsi="Arial" w:cs="Arial"/>
                <w:color w:val="000000" w:themeColor="text1"/>
                <w:sz w:val="20"/>
                <w:szCs w:val="20"/>
              </w:rPr>
              <w:t>.</w:t>
            </w:r>
          </w:p>
        </w:tc>
        <w:tc>
          <w:tcPr>
            <w:tcW w:w="5760" w:type="dxa"/>
          </w:tcPr>
          <w:p w14:paraId="325E10C1"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RQ2 contribution: develop a daily, reliability-qualified NTL recovery framework that treats missingness and observability as part of the evidence.</w:t>
            </w:r>
          </w:p>
        </w:tc>
      </w:tr>
      <w:tr w:rsidR="00A37B8A" w:rsidRPr="00D87CEC" w14:paraId="68BE7842" w14:textId="77777777" w:rsidTr="005A5EBA">
        <w:trPr>
          <w:cantSplit/>
          <w:jc w:val="center"/>
        </w:trPr>
        <w:tc>
          <w:tcPr>
            <w:tcW w:w="4752" w:type="dxa"/>
          </w:tcPr>
          <w:p w14:paraId="15C8B70C" w14:textId="77777777" w:rsidR="00A37B8A" w:rsidRPr="00D87CEC" w:rsidRDefault="00A37B8A" w:rsidP="005A5EBA">
            <w:pPr>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gap: RS recovery studies are physically biased.</w:t>
            </w:r>
          </w:p>
        </w:tc>
        <w:tc>
          <w:tcPr>
            <w:tcW w:w="5760" w:type="dxa"/>
          </w:tcPr>
          <w:p w14:paraId="5022F930"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RQ2 contribution: focus on functional electricity/light-mediated recovery, while clearly separating it from structural reconstruction.</w:t>
            </w:r>
          </w:p>
        </w:tc>
      </w:tr>
      <w:tr w:rsidR="00A37B8A" w:rsidRPr="00D87CEC" w14:paraId="63BCAF4A" w14:textId="77777777" w:rsidTr="005A5EBA">
        <w:trPr>
          <w:cantSplit/>
          <w:jc w:val="center"/>
        </w:trPr>
        <w:tc>
          <w:tcPr>
            <w:tcW w:w="4752" w:type="dxa"/>
          </w:tcPr>
          <w:p w14:paraId="6E18634D" w14:textId="77777777" w:rsidR="00A37B8A" w:rsidRPr="00D87CEC" w:rsidRDefault="00A37B8A" w:rsidP="005A5EBA">
            <w:pPr>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gap: proxy reliability is uncertain.</w:t>
            </w:r>
          </w:p>
        </w:tc>
        <w:tc>
          <w:tcPr>
            <w:tcW w:w="5760" w:type="dxa"/>
          </w:tcPr>
          <w:p w14:paraId="38A66D52"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RQ2 contribution: define valid-pixel thresholds, MQF == 0 observability, gap-filled diagnostics, and sensitivity across GHSL classes and extents.</w:t>
            </w:r>
          </w:p>
        </w:tc>
      </w:tr>
      <w:tr w:rsidR="00A37B8A" w:rsidRPr="00D87CEC" w14:paraId="75DDEEA6" w14:textId="77777777" w:rsidTr="005A5EBA">
        <w:trPr>
          <w:cantSplit/>
          <w:jc w:val="center"/>
        </w:trPr>
        <w:tc>
          <w:tcPr>
            <w:tcW w:w="4752" w:type="dxa"/>
          </w:tcPr>
          <w:p w14:paraId="589D952E" w14:textId="77777777" w:rsidR="00A37B8A" w:rsidRPr="00D87CEC" w:rsidRDefault="00A37B8A" w:rsidP="005A5EBA">
            <w:pPr>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gap: VHR multi-temporal analysis is costly and sparse.</w:t>
            </w:r>
          </w:p>
        </w:tc>
        <w:tc>
          <w:tcPr>
            <w:tcW w:w="5760" w:type="dxa"/>
          </w:tcPr>
          <w:p w14:paraId="3070E3BF" w14:textId="7D0CD014"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 xml:space="preserve">RQ2 contribution: use systematic daily VIIRS time series from 2012-2024 to quantify </w:t>
            </w:r>
            <w:r w:rsidR="009B5519">
              <w:rPr>
                <w:rFonts w:ascii="Arial" w:hAnsi="Arial" w:cs="Arial"/>
                <w:color w:val="000000" w:themeColor="text1"/>
                <w:sz w:val="20"/>
                <w:szCs w:val="20"/>
              </w:rPr>
              <w:t>impact</w:t>
            </w:r>
            <w:r w:rsidRPr="00D87CEC">
              <w:rPr>
                <w:rFonts w:ascii="Arial" w:hAnsi="Arial" w:cs="Arial"/>
                <w:color w:val="000000" w:themeColor="text1"/>
                <w:sz w:val="20"/>
                <w:szCs w:val="20"/>
              </w:rPr>
              <w:t xml:space="preserve"> and recovery trajectories rather than a few expensive snapshots.</w:t>
            </w:r>
          </w:p>
        </w:tc>
      </w:tr>
      <w:tr w:rsidR="00A37B8A" w:rsidRPr="00D87CEC" w14:paraId="79BE8858" w14:textId="77777777" w:rsidTr="005A5EBA">
        <w:trPr>
          <w:cantSplit/>
          <w:jc w:val="center"/>
        </w:trPr>
        <w:tc>
          <w:tcPr>
            <w:tcW w:w="4752" w:type="dxa"/>
          </w:tcPr>
          <w:p w14:paraId="5E195575" w14:textId="77777777" w:rsidR="00A37B8A" w:rsidRPr="00D87CEC" w:rsidRDefault="00A37B8A" w:rsidP="005A5EBA">
            <w:pPr>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gap: recovery as resilience is not straightforward.</w:t>
            </w:r>
          </w:p>
        </w:tc>
        <w:tc>
          <w:tcPr>
            <w:tcW w:w="5760" w:type="dxa"/>
          </w:tcPr>
          <w:p w14:paraId="0CF04CCA"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RQ2 contribution: report recovery metrics cautiously as evidence consistent with functional restoration, not as direct resilience proof.</w:t>
            </w:r>
          </w:p>
        </w:tc>
      </w:tr>
    </w:tbl>
    <w:p w14:paraId="0C92C5F2" w14:textId="77777777" w:rsidR="00A37B8A" w:rsidRPr="00BA71FB" w:rsidRDefault="00A37B8A" w:rsidP="00A37B8A">
      <w:pPr>
        <w:pStyle w:val="Heading2"/>
        <w:rPr>
          <w:rFonts w:ascii="Arial" w:hAnsi="Arial" w:cs="Arial"/>
          <w:b/>
          <w:bCs/>
          <w:color w:val="000000" w:themeColor="text1"/>
          <w:sz w:val="20"/>
          <w:szCs w:val="20"/>
        </w:rPr>
      </w:pPr>
      <w:bookmarkStart w:id="26" w:name="_Toc234318925"/>
      <w:r w:rsidRPr="00BA71FB">
        <w:rPr>
          <w:rFonts w:ascii="Arial" w:hAnsi="Arial" w:cs="Arial"/>
          <w:b/>
          <w:bCs/>
          <w:color w:val="000000" w:themeColor="text1"/>
          <w:sz w:val="20"/>
          <w:szCs w:val="20"/>
        </w:rPr>
        <w:t>5.1 Recommended RQ2 framing sentence</w:t>
      </w:r>
      <w:bookmarkEnd w:id="26"/>
    </w:p>
    <w:tbl>
      <w:tblPr>
        <w:tblW w:w="0" w:type="auto"/>
        <w:jc w:val="center"/>
        <w:tblLook w:val="04A0" w:firstRow="1" w:lastRow="0" w:firstColumn="1" w:lastColumn="0" w:noHBand="0" w:noVBand="1"/>
      </w:tblPr>
      <w:tblGrid>
        <w:gridCol w:w="9026"/>
      </w:tblGrid>
      <w:tr w:rsidR="00A37B8A" w:rsidRPr="00D87CEC" w14:paraId="77AA4593" w14:textId="77777777" w:rsidTr="005A5EBA">
        <w:trPr>
          <w:jc w:val="center"/>
        </w:trPr>
        <w:tc>
          <w:tcPr>
            <w:tcW w:w="10368" w:type="dxa"/>
            <w:shd w:val="clear" w:color="auto" w:fill="EAF4EA"/>
          </w:tcPr>
          <w:p w14:paraId="75C091E7" w14:textId="23764B35" w:rsidR="00A37B8A" w:rsidRPr="00D87CEC" w:rsidRDefault="00A37B8A" w:rsidP="005A5EBA">
            <w:pPr>
              <w:spacing w:after="60"/>
              <w:rPr>
                <w:rFonts w:ascii="Arial" w:hAnsi="Arial" w:cs="Arial"/>
                <w:color w:val="000000" w:themeColor="text1"/>
                <w:sz w:val="20"/>
                <w:szCs w:val="20"/>
              </w:rPr>
            </w:pPr>
            <w:r w:rsidRPr="00D87CEC">
              <w:rPr>
                <w:rFonts w:ascii="Arial" w:hAnsi="Arial" w:cs="Arial"/>
                <w:b/>
                <w:color w:val="000000" w:themeColor="text1"/>
                <w:sz w:val="20"/>
                <w:szCs w:val="20"/>
              </w:rPr>
              <w:t xml:space="preserve">Suggested framing: </w:t>
            </w:r>
            <w:r w:rsidRPr="00D87CEC">
              <w:rPr>
                <w:rFonts w:ascii="Arial" w:hAnsi="Arial" w:cs="Arial"/>
                <w:color w:val="000000" w:themeColor="text1"/>
                <w:sz w:val="20"/>
                <w:szCs w:val="20"/>
              </w:rPr>
              <w:t xml:space="preserve">This study extends proxy-based post-disaster recovery assessment by testing when daily VIIRS Black Marble nighttime lights are observable enough, and interpretable enough, to quantify disaster </w:t>
            </w:r>
            <w:r w:rsidR="009B5519">
              <w:rPr>
                <w:rFonts w:ascii="Arial" w:hAnsi="Arial" w:cs="Arial"/>
                <w:color w:val="000000" w:themeColor="text1"/>
                <w:sz w:val="20"/>
                <w:szCs w:val="20"/>
              </w:rPr>
              <w:t>impact</w:t>
            </w:r>
            <w:r w:rsidRPr="00D87CEC">
              <w:rPr>
                <w:rFonts w:ascii="Arial" w:hAnsi="Arial" w:cs="Arial"/>
                <w:color w:val="000000" w:themeColor="text1"/>
                <w:sz w:val="20"/>
                <w:szCs w:val="20"/>
              </w:rPr>
              <w:t xml:space="preserve"> and electricity-mediated functional recovery across settlement morphologies in cloud-impacted tropical regions.</w:t>
            </w:r>
          </w:p>
        </w:tc>
      </w:tr>
    </w:tbl>
    <w:p w14:paraId="5A3BFF94" w14:textId="77777777" w:rsidR="00A37B8A" w:rsidRPr="00D87CEC" w:rsidRDefault="00A37B8A" w:rsidP="00A37B8A">
      <w:pPr>
        <w:rPr>
          <w:rFonts w:ascii="Arial" w:hAnsi="Arial" w:cs="Arial"/>
          <w:color w:val="000000" w:themeColor="text1"/>
          <w:sz w:val="20"/>
          <w:szCs w:val="20"/>
        </w:rPr>
      </w:pPr>
    </w:p>
    <w:p w14:paraId="4AC8AF40" w14:textId="77777777" w:rsidR="00A37B8A" w:rsidRPr="00D87CEC" w:rsidRDefault="00A37B8A" w:rsidP="00A37B8A">
      <w:pPr>
        <w:pStyle w:val="Heading2"/>
        <w:rPr>
          <w:rFonts w:ascii="Arial" w:hAnsi="Arial" w:cs="Arial"/>
          <w:color w:val="000000" w:themeColor="text1"/>
          <w:sz w:val="20"/>
          <w:szCs w:val="20"/>
        </w:rPr>
      </w:pPr>
      <w:bookmarkStart w:id="27" w:name="_Toc234318926"/>
      <w:r w:rsidRPr="00D87CEC">
        <w:rPr>
          <w:rFonts w:ascii="Arial" w:hAnsi="Arial" w:cs="Arial"/>
          <w:color w:val="000000" w:themeColor="text1"/>
          <w:sz w:val="20"/>
          <w:szCs w:val="20"/>
        </w:rPr>
        <w:t>5.2 Recommended decision rules for NTL recovery claims</w:t>
      </w:r>
      <w:bookmarkEnd w:id="27"/>
    </w:p>
    <w:tbl>
      <w:tblPr>
        <w:tblStyle w:val="TableGrid"/>
        <w:tblW w:w="0" w:type="auto"/>
        <w:jc w:val="center"/>
        <w:tblLook w:val="04A0" w:firstRow="1" w:lastRow="0" w:firstColumn="1" w:lastColumn="0" w:noHBand="0" w:noVBand="1"/>
      </w:tblPr>
      <w:tblGrid>
        <w:gridCol w:w="2579"/>
        <w:gridCol w:w="6437"/>
      </w:tblGrid>
      <w:tr w:rsidR="00A37B8A" w:rsidRPr="00D87CEC" w14:paraId="3F9E1533" w14:textId="77777777" w:rsidTr="005A5EBA">
        <w:trPr>
          <w:cantSplit/>
          <w:tblHeader/>
          <w:jc w:val="center"/>
        </w:trPr>
        <w:tc>
          <w:tcPr>
            <w:tcW w:w="2880" w:type="dxa"/>
            <w:shd w:val="clear" w:color="auto" w:fill="D9EAF7"/>
          </w:tcPr>
          <w:p w14:paraId="0FF805F7"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Rule</w:t>
            </w:r>
          </w:p>
        </w:tc>
        <w:tc>
          <w:tcPr>
            <w:tcW w:w="7632" w:type="dxa"/>
            <w:shd w:val="clear" w:color="auto" w:fill="D9EAF7"/>
          </w:tcPr>
          <w:p w14:paraId="390994CB"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Operational meaning</w:t>
            </w:r>
          </w:p>
        </w:tc>
      </w:tr>
      <w:tr w:rsidR="00A37B8A" w:rsidRPr="00D87CEC" w14:paraId="79972AF5" w14:textId="77777777" w:rsidTr="005A5EBA">
        <w:trPr>
          <w:cantSplit/>
          <w:jc w:val="center"/>
        </w:trPr>
        <w:tc>
          <w:tcPr>
            <w:tcW w:w="2880" w:type="dxa"/>
          </w:tcPr>
          <w:p w14:paraId="2EA01D1F"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Observability first</w:t>
            </w:r>
          </w:p>
        </w:tc>
        <w:tc>
          <w:tcPr>
            <w:tcW w:w="7632" w:type="dxa"/>
          </w:tcPr>
          <w:p w14:paraId="4F89EEB3" w14:textId="255FC1AD"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 xml:space="preserve">Do not calculate or interpret </w:t>
            </w:r>
            <w:r w:rsidR="009B5519">
              <w:rPr>
                <w:rFonts w:ascii="Arial" w:hAnsi="Arial" w:cs="Arial"/>
                <w:color w:val="000000" w:themeColor="text1"/>
                <w:sz w:val="20"/>
                <w:szCs w:val="20"/>
              </w:rPr>
              <w:t>impact</w:t>
            </w:r>
            <w:r w:rsidRPr="00D87CEC">
              <w:rPr>
                <w:rFonts w:ascii="Arial" w:hAnsi="Arial" w:cs="Arial"/>
                <w:color w:val="000000" w:themeColor="text1"/>
                <w:sz w:val="20"/>
                <w:szCs w:val="20"/>
              </w:rPr>
              <w:t>/recovery metrics unless MQF == 0 observations and valid-pixel coverage pass the chosen threshold.</w:t>
            </w:r>
          </w:p>
        </w:tc>
      </w:tr>
      <w:tr w:rsidR="00A37B8A" w:rsidRPr="00D87CEC" w14:paraId="528A2FD6" w14:textId="77777777" w:rsidTr="005A5EBA">
        <w:trPr>
          <w:cantSplit/>
          <w:jc w:val="center"/>
        </w:trPr>
        <w:tc>
          <w:tcPr>
            <w:tcW w:w="2880" w:type="dxa"/>
          </w:tcPr>
          <w:p w14:paraId="3757E25B"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Baseline second</w:t>
            </w:r>
          </w:p>
        </w:tc>
        <w:tc>
          <w:tcPr>
            <w:tcW w:w="7632" w:type="dxa"/>
          </w:tcPr>
          <w:p w14:paraId="41937F5F"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Define normal pre-event NTL behavior from reliability-qualified days, stratified by GHSL class and spatial extent.</w:t>
            </w:r>
          </w:p>
        </w:tc>
      </w:tr>
      <w:tr w:rsidR="00A37B8A" w:rsidRPr="00D87CEC" w14:paraId="4A00E09B" w14:textId="77777777" w:rsidTr="005A5EBA">
        <w:trPr>
          <w:cantSplit/>
          <w:jc w:val="center"/>
        </w:trPr>
        <w:tc>
          <w:tcPr>
            <w:tcW w:w="2880" w:type="dxa"/>
          </w:tcPr>
          <w:p w14:paraId="1A59F3CB" w14:textId="3DF71A88" w:rsidR="00A37B8A" w:rsidRPr="00D87CEC" w:rsidRDefault="009B5519" w:rsidP="005A5EBA">
            <w:pPr>
              <w:rPr>
                <w:rFonts w:ascii="Arial" w:hAnsi="Arial" w:cs="Arial"/>
                <w:color w:val="000000" w:themeColor="text1"/>
                <w:sz w:val="20"/>
                <w:szCs w:val="20"/>
              </w:rPr>
            </w:pPr>
            <w:r>
              <w:rPr>
                <w:rFonts w:ascii="Arial" w:hAnsi="Arial" w:cs="Arial"/>
                <w:color w:val="000000" w:themeColor="text1"/>
                <w:sz w:val="20"/>
                <w:szCs w:val="20"/>
              </w:rPr>
              <w:t>Impact</w:t>
            </w:r>
            <w:r w:rsidR="00A37B8A" w:rsidRPr="00D87CEC">
              <w:rPr>
                <w:rFonts w:ascii="Arial" w:hAnsi="Arial" w:cs="Arial"/>
                <w:color w:val="000000" w:themeColor="text1"/>
                <w:sz w:val="20"/>
                <w:szCs w:val="20"/>
              </w:rPr>
              <w:t xml:space="preserve"> third</w:t>
            </w:r>
          </w:p>
        </w:tc>
        <w:tc>
          <w:tcPr>
            <w:tcW w:w="7632" w:type="dxa"/>
          </w:tcPr>
          <w:p w14:paraId="07EA7E6D"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Estimate immediate radiance drop relative to baseline only where the event window is sufficiently observable.</w:t>
            </w:r>
          </w:p>
        </w:tc>
      </w:tr>
      <w:tr w:rsidR="00A37B8A" w:rsidRPr="00D87CEC" w14:paraId="7E626E6A" w14:textId="77777777" w:rsidTr="005A5EBA">
        <w:trPr>
          <w:cantSplit/>
          <w:jc w:val="center"/>
        </w:trPr>
        <w:tc>
          <w:tcPr>
            <w:tcW w:w="2880" w:type="dxa"/>
          </w:tcPr>
          <w:p w14:paraId="1EB57F50"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Recovery fourth</w:t>
            </w:r>
          </w:p>
        </w:tc>
        <w:tc>
          <w:tcPr>
            <w:tcW w:w="7632" w:type="dxa"/>
          </w:tcPr>
          <w:p w14:paraId="33E1F435"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Estimate T50, T80/T90, recovery slope, duration below baseline, and post-event stability with missingness flags.</w:t>
            </w:r>
          </w:p>
        </w:tc>
      </w:tr>
      <w:tr w:rsidR="00A37B8A" w:rsidRPr="00D87CEC" w14:paraId="4800351D" w14:textId="77777777" w:rsidTr="005A5EBA">
        <w:trPr>
          <w:cantSplit/>
          <w:jc w:val="center"/>
        </w:trPr>
        <w:tc>
          <w:tcPr>
            <w:tcW w:w="2880" w:type="dxa"/>
          </w:tcPr>
          <w:p w14:paraId="2132DE8F"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Gap-filled diagnostic only</w:t>
            </w:r>
          </w:p>
        </w:tc>
        <w:tc>
          <w:tcPr>
            <w:tcW w:w="7632" w:type="dxa"/>
          </w:tcPr>
          <w:p w14:paraId="3790C5C7"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Use gap-filled NTL to diagnose attenuation, persistence, or delay, not as the main recovery signal.</w:t>
            </w:r>
          </w:p>
        </w:tc>
      </w:tr>
      <w:tr w:rsidR="00A37B8A" w:rsidRPr="00D87CEC" w14:paraId="08117792" w14:textId="77777777" w:rsidTr="005A5EBA">
        <w:trPr>
          <w:cantSplit/>
          <w:jc w:val="center"/>
        </w:trPr>
        <w:tc>
          <w:tcPr>
            <w:tcW w:w="2880" w:type="dxa"/>
          </w:tcPr>
          <w:p w14:paraId="4B0280DC"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Separate labels</w:t>
            </w:r>
          </w:p>
        </w:tc>
        <w:tc>
          <w:tcPr>
            <w:tcW w:w="7632" w:type="dxa"/>
          </w:tcPr>
          <w:p w14:paraId="3A166445"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Classify units as recovered, not recovered, partially recovered, or not observable. Never collapse not observable into not recovered.</w:t>
            </w:r>
          </w:p>
        </w:tc>
      </w:tr>
      <w:tr w:rsidR="00A37B8A" w:rsidRPr="00D87CEC" w14:paraId="4E82500A" w14:textId="77777777" w:rsidTr="005A5EBA">
        <w:trPr>
          <w:cantSplit/>
          <w:jc w:val="center"/>
        </w:trPr>
        <w:tc>
          <w:tcPr>
            <w:tcW w:w="2880" w:type="dxa"/>
          </w:tcPr>
          <w:p w14:paraId="2124E0FA"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Cautious interpretation</w:t>
            </w:r>
          </w:p>
        </w:tc>
        <w:tc>
          <w:tcPr>
            <w:tcW w:w="7632" w:type="dxa"/>
          </w:tcPr>
          <w:p w14:paraId="1ED78E7F"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Use “suggests,” “indicates,” or “is consistent with” unless the NTL metric is validated against outage/load/field data.</w:t>
            </w:r>
          </w:p>
        </w:tc>
      </w:tr>
    </w:tbl>
    <w:p w14:paraId="7845686B" w14:textId="77777777" w:rsidR="00A37B8A" w:rsidRPr="00D87CEC" w:rsidRDefault="00A37B8A" w:rsidP="00A37B8A">
      <w:pPr>
        <w:rPr>
          <w:rFonts w:ascii="Arial" w:hAnsi="Arial" w:cs="Arial"/>
          <w:color w:val="000000" w:themeColor="text1"/>
          <w:sz w:val="20"/>
          <w:szCs w:val="20"/>
        </w:rPr>
      </w:pPr>
    </w:p>
    <w:p w14:paraId="19C3DA71" w14:textId="77777777" w:rsidR="00A37B8A" w:rsidRPr="00D87CEC" w:rsidRDefault="00A37B8A" w:rsidP="00A37B8A">
      <w:pPr>
        <w:pStyle w:val="Heading2"/>
        <w:rPr>
          <w:rFonts w:ascii="Arial" w:hAnsi="Arial" w:cs="Arial"/>
          <w:color w:val="000000" w:themeColor="text1"/>
          <w:sz w:val="20"/>
          <w:szCs w:val="20"/>
        </w:rPr>
      </w:pPr>
      <w:bookmarkStart w:id="28" w:name="_Toc234318927"/>
      <w:r w:rsidRPr="00D87CEC">
        <w:rPr>
          <w:rFonts w:ascii="Arial" w:hAnsi="Arial" w:cs="Arial"/>
          <w:color w:val="000000" w:themeColor="text1"/>
          <w:sz w:val="20"/>
          <w:szCs w:val="20"/>
        </w:rPr>
        <w:lastRenderedPageBreak/>
        <w:t>5.3 How to use Chapter 3 methods without inheriting their weaknesses</w:t>
      </w:r>
      <w:bookmarkEnd w:id="28"/>
    </w:p>
    <w:tbl>
      <w:tblPr>
        <w:tblStyle w:val="TableGrid"/>
        <w:tblW w:w="0" w:type="auto"/>
        <w:jc w:val="center"/>
        <w:tblLook w:val="04A0" w:firstRow="1" w:lastRow="0" w:firstColumn="1" w:lastColumn="0" w:noHBand="0" w:noVBand="1"/>
      </w:tblPr>
      <w:tblGrid>
        <w:gridCol w:w="2613"/>
        <w:gridCol w:w="6403"/>
      </w:tblGrid>
      <w:tr w:rsidR="00A37B8A" w:rsidRPr="00D87CEC" w14:paraId="25435252" w14:textId="77777777" w:rsidTr="005A5EBA">
        <w:trPr>
          <w:cantSplit/>
          <w:tblHeader/>
          <w:jc w:val="center"/>
        </w:trPr>
        <w:tc>
          <w:tcPr>
            <w:tcW w:w="2880" w:type="dxa"/>
            <w:shd w:val="clear" w:color="auto" w:fill="D9EAF7"/>
          </w:tcPr>
          <w:p w14:paraId="099FE769"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Chapter 3 element</w:t>
            </w:r>
          </w:p>
        </w:tc>
        <w:tc>
          <w:tcPr>
            <w:tcW w:w="7632" w:type="dxa"/>
            <w:shd w:val="clear" w:color="auto" w:fill="D9EAF7"/>
          </w:tcPr>
          <w:p w14:paraId="567D7020"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RQ2 adaptation</w:t>
            </w:r>
          </w:p>
        </w:tc>
      </w:tr>
      <w:tr w:rsidR="00A37B8A" w:rsidRPr="00D87CEC" w14:paraId="25D2B669" w14:textId="77777777" w:rsidTr="005A5EBA">
        <w:trPr>
          <w:cantSplit/>
          <w:jc w:val="center"/>
        </w:trPr>
        <w:tc>
          <w:tcPr>
            <w:tcW w:w="2880" w:type="dxa"/>
          </w:tcPr>
          <w:p w14:paraId="22B9CD56"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Multi-temporal design</w:t>
            </w:r>
          </w:p>
        </w:tc>
        <w:tc>
          <w:tcPr>
            <w:tcW w:w="7632" w:type="dxa"/>
          </w:tcPr>
          <w:p w14:paraId="4D0722E6" w14:textId="5CFB3FC5"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 xml:space="preserve">Keep the event-centered T0/T1/T2/T3 logic, but translate it into dense daily windows: baseline, immediate </w:t>
            </w:r>
            <w:r w:rsidR="009B5519">
              <w:rPr>
                <w:rFonts w:ascii="Arial" w:hAnsi="Arial" w:cs="Arial"/>
                <w:color w:val="000000" w:themeColor="text1"/>
                <w:sz w:val="20"/>
                <w:szCs w:val="20"/>
              </w:rPr>
              <w:t>impact</w:t>
            </w:r>
            <w:r w:rsidRPr="00D87CEC">
              <w:rPr>
                <w:rFonts w:ascii="Arial" w:hAnsi="Arial" w:cs="Arial"/>
                <w:color w:val="000000" w:themeColor="text1"/>
                <w:sz w:val="20"/>
                <w:szCs w:val="20"/>
              </w:rPr>
              <w:t>, early recovery, medium recovery, long recovery.</w:t>
            </w:r>
          </w:p>
        </w:tc>
      </w:tr>
      <w:tr w:rsidR="00A37B8A" w:rsidRPr="00D87CEC" w14:paraId="0E428A62" w14:textId="77777777" w:rsidTr="005A5EBA">
        <w:trPr>
          <w:cantSplit/>
          <w:jc w:val="center"/>
        </w:trPr>
        <w:tc>
          <w:tcPr>
            <w:tcW w:w="2880" w:type="dxa"/>
          </w:tcPr>
          <w:p w14:paraId="1FACA05B"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Proxy extraction</w:t>
            </w:r>
          </w:p>
        </w:tc>
        <w:tc>
          <w:tcPr>
            <w:tcW w:w="7632" w:type="dxa"/>
          </w:tcPr>
          <w:p w14:paraId="3C907E1A"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 xml:space="preserve">Use area/class changes in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as conceptual precedent; use radiance change, valid-pixel coverage, and GHSL class as RQ2 metrics.</w:t>
            </w:r>
          </w:p>
        </w:tc>
      </w:tr>
      <w:tr w:rsidR="00A37B8A" w:rsidRPr="00D87CEC" w14:paraId="3D0B2BD1" w14:textId="77777777" w:rsidTr="005A5EBA">
        <w:trPr>
          <w:cantSplit/>
          <w:jc w:val="center"/>
        </w:trPr>
        <w:tc>
          <w:tcPr>
            <w:tcW w:w="2880" w:type="dxa"/>
          </w:tcPr>
          <w:p w14:paraId="29C38A66"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Accuracy assessment</w:t>
            </w:r>
          </w:p>
        </w:tc>
        <w:tc>
          <w:tcPr>
            <w:tcW w:w="7632" w:type="dxa"/>
          </w:tcPr>
          <w:p w14:paraId="4DA138C1"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Replace classification-only accuracy with reliability diagnostics: valid observation rate, missingness, gap-filled divergence, temporal sensitivity, and load/outage alignment where available.</w:t>
            </w:r>
          </w:p>
        </w:tc>
      </w:tr>
      <w:tr w:rsidR="00A37B8A" w:rsidRPr="00D87CEC" w14:paraId="390D66E1" w14:textId="77777777" w:rsidTr="005A5EBA">
        <w:trPr>
          <w:cantSplit/>
          <w:jc w:val="center"/>
        </w:trPr>
        <w:tc>
          <w:tcPr>
            <w:tcW w:w="2880" w:type="dxa"/>
          </w:tcPr>
          <w:p w14:paraId="709CB362"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Pixel-count critique</w:t>
            </w:r>
          </w:p>
        </w:tc>
        <w:tc>
          <w:tcPr>
            <w:tcW w:w="7632" w:type="dxa"/>
          </w:tcPr>
          <w:p w14:paraId="469ABB39"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Avoid treating class area or radiance alone as recovery. Tie every metric to baseline, event window, valid-pixel threshold, GHSL class, and missingness.</w:t>
            </w:r>
          </w:p>
        </w:tc>
      </w:tr>
      <w:tr w:rsidR="00A37B8A" w:rsidRPr="00D87CEC" w14:paraId="1C0211A7" w14:textId="77777777" w:rsidTr="005A5EBA">
        <w:trPr>
          <w:cantSplit/>
          <w:jc w:val="center"/>
        </w:trPr>
        <w:tc>
          <w:tcPr>
            <w:tcW w:w="2880" w:type="dxa"/>
          </w:tcPr>
          <w:p w14:paraId="5230922A"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Survey/context integration</w:t>
            </w:r>
          </w:p>
        </w:tc>
        <w:tc>
          <w:tcPr>
            <w:tcW w:w="7632" w:type="dxa"/>
          </w:tcPr>
          <w:p w14:paraId="2C643997"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Where possible, interpret NTL with NGCP load, outage reports, hazard tracks, settlement class, and administrative context.</w:t>
            </w:r>
          </w:p>
        </w:tc>
      </w:tr>
    </w:tbl>
    <w:p w14:paraId="166BE533" w14:textId="77777777" w:rsidR="00A37B8A" w:rsidRPr="00D87CEC" w:rsidRDefault="00A37B8A" w:rsidP="00A37B8A">
      <w:pPr>
        <w:rPr>
          <w:rFonts w:ascii="Arial" w:hAnsi="Arial" w:cs="Arial"/>
          <w:color w:val="000000" w:themeColor="text1"/>
          <w:sz w:val="20"/>
          <w:szCs w:val="20"/>
        </w:rPr>
      </w:pPr>
    </w:p>
    <w:p w14:paraId="44448B7A" w14:textId="77777777" w:rsidR="00A37B8A" w:rsidRPr="00D87CEC" w:rsidRDefault="00A37B8A" w:rsidP="00A37B8A">
      <w:pPr>
        <w:pStyle w:val="Heading1"/>
        <w:rPr>
          <w:rFonts w:ascii="Arial" w:hAnsi="Arial" w:cs="Arial"/>
          <w:color w:val="000000" w:themeColor="text1"/>
          <w:sz w:val="20"/>
          <w:szCs w:val="20"/>
        </w:rPr>
      </w:pPr>
      <w:bookmarkStart w:id="29" w:name="_Toc234318928"/>
      <w:r w:rsidRPr="00D87CEC">
        <w:rPr>
          <w:rFonts w:ascii="Arial" w:hAnsi="Arial" w:cs="Arial"/>
          <w:color w:val="000000" w:themeColor="text1"/>
          <w:sz w:val="20"/>
          <w:szCs w:val="20"/>
        </w:rPr>
        <w:t xml:space="preserve">6. Critical assessment of </w:t>
      </w:r>
      <w:proofErr w:type="spellStart"/>
      <w:r w:rsidRPr="00D87CEC">
        <w:rPr>
          <w:rFonts w:ascii="Arial" w:hAnsi="Arial" w:cs="Arial"/>
          <w:color w:val="000000" w:themeColor="text1"/>
          <w:sz w:val="20"/>
          <w:szCs w:val="20"/>
        </w:rPr>
        <w:t>Ghaffarian's</w:t>
      </w:r>
      <w:proofErr w:type="spellEnd"/>
      <w:r w:rsidRPr="00D87CEC">
        <w:rPr>
          <w:rFonts w:ascii="Arial" w:hAnsi="Arial" w:cs="Arial"/>
          <w:color w:val="000000" w:themeColor="text1"/>
          <w:sz w:val="20"/>
          <w:szCs w:val="20"/>
        </w:rPr>
        <w:t xml:space="preserve"> approach for RQ2 use</w:t>
      </w:r>
      <w:bookmarkEnd w:id="29"/>
    </w:p>
    <w:p w14:paraId="14A798C5" w14:textId="77777777" w:rsidR="00A37B8A" w:rsidRPr="00D87CEC" w:rsidRDefault="00A37B8A" w:rsidP="00A37B8A">
      <w:pPr>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Ghaffarian's</w:t>
      </w:r>
      <w:proofErr w:type="spellEnd"/>
      <w:r w:rsidRPr="00D87CEC">
        <w:rPr>
          <w:rFonts w:ascii="Arial" w:hAnsi="Arial" w:cs="Arial"/>
          <w:color w:val="000000" w:themeColor="text1"/>
          <w:sz w:val="20"/>
          <w:szCs w:val="20"/>
        </w:rPr>
        <w:t xml:space="preserve"> framework is strong as a conceptual and methodological bridge, but it should not be transferred uncritically into an NTL study.</w:t>
      </w:r>
    </w:p>
    <w:tbl>
      <w:tblPr>
        <w:tblStyle w:val="TableGrid"/>
        <w:tblW w:w="0" w:type="auto"/>
        <w:jc w:val="center"/>
        <w:tblLook w:val="04A0" w:firstRow="1" w:lastRow="0" w:firstColumn="1" w:lastColumn="0" w:noHBand="0" w:noVBand="1"/>
      </w:tblPr>
      <w:tblGrid>
        <w:gridCol w:w="1375"/>
        <w:gridCol w:w="3969"/>
        <w:gridCol w:w="3672"/>
      </w:tblGrid>
      <w:tr w:rsidR="00A37B8A" w:rsidRPr="00D87CEC" w14:paraId="1A4B06B7" w14:textId="77777777" w:rsidTr="005A5EBA">
        <w:trPr>
          <w:cantSplit/>
          <w:tblHeader/>
          <w:jc w:val="center"/>
        </w:trPr>
        <w:tc>
          <w:tcPr>
            <w:tcW w:w="1440" w:type="dxa"/>
            <w:shd w:val="clear" w:color="auto" w:fill="D9EAF7"/>
          </w:tcPr>
          <w:p w14:paraId="7C9C820C"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Type</w:t>
            </w:r>
          </w:p>
        </w:tc>
        <w:tc>
          <w:tcPr>
            <w:tcW w:w="4680" w:type="dxa"/>
            <w:shd w:val="clear" w:color="auto" w:fill="D9EAF7"/>
          </w:tcPr>
          <w:p w14:paraId="1B360750"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Assessment</w:t>
            </w:r>
          </w:p>
        </w:tc>
        <w:tc>
          <w:tcPr>
            <w:tcW w:w="4320" w:type="dxa"/>
            <w:shd w:val="clear" w:color="auto" w:fill="D9EAF7"/>
          </w:tcPr>
          <w:p w14:paraId="02C352C5" w14:textId="77777777" w:rsidR="00A37B8A" w:rsidRPr="00D87CEC" w:rsidRDefault="00A37B8A" w:rsidP="005A5EBA">
            <w:pPr>
              <w:rPr>
                <w:rFonts w:ascii="Arial" w:hAnsi="Arial" w:cs="Arial"/>
                <w:color w:val="000000" w:themeColor="text1"/>
                <w:sz w:val="20"/>
                <w:szCs w:val="20"/>
              </w:rPr>
            </w:pPr>
            <w:r w:rsidRPr="00D87CEC">
              <w:rPr>
                <w:rFonts w:ascii="Arial" w:hAnsi="Arial" w:cs="Arial"/>
                <w:b/>
                <w:color w:val="000000" w:themeColor="text1"/>
                <w:sz w:val="20"/>
                <w:szCs w:val="20"/>
              </w:rPr>
              <w:t>How RQ2 should respond</w:t>
            </w:r>
          </w:p>
        </w:tc>
      </w:tr>
      <w:tr w:rsidR="00A37B8A" w:rsidRPr="00D87CEC" w14:paraId="37E56D32" w14:textId="77777777" w:rsidTr="005A5EBA">
        <w:trPr>
          <w:cantSplit/>
          <w:jc w:val="center"/>
        </w:trPr>
        <w:tc>
          <w:tcPr>
            <w:tcW w:w="1440" w:type="dxa"/>
          </w:tcPr>
          <w:p w14:paraId="4B4D6855"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Strength</w:t>
            </w:r>
          </w:p>
        </w:tc>
        <w:tc>
          <w:tcPr>
            <w:tcW w:w="4680" w:type="dxa"/>
          </w:tcPr>
          <w:p w14:paraId="73A86B27" w14:textId="77777777" w:rsidR="00A37B8A" w:rsidRPr="00746FFA" w:rsidRDefault="00A37B8A" w:rsidP="005A5EBA">
            <w:pPr>
              <w:rPr>
                <w:rFonts w:ascii="Arial" w:hAnsi="Arial" w:cs="Arial"/>
                <w:b/>
                <w:bCs/>
                <w:color w:val="000000" w:themeColor="text1"/>
                <w:sz w:val="20"/>
                <w:szCs w:val="20"/>
              </w:rPr>
            </w:pPr>
            <w:r w:rsidRPr="00746FFA">
              <w:rPr>
                <w:rFonts w:ascii="Arial" w:hAnsi="Arial" w:cs="Arial"/>
                <w:b/>
                <w:bCs/>
                <w:color w:val="000000" w:themeColor="text1"/>
                <w:sz w:val="20"/>
                <w:szCs w:val="20"/>
              </w:rPr>
              <w:t xml:space="preserve">It correctly defines recovery as multi-dimensional and </w:t>
            </w:r>
            <w:proofErr w:type="gramStart"/>
            <w:r w:rsidRPr="00746FFA">
              <w:rPr>
                <w:rFonts w:ascii="Arial" w:hAnsi="Arial" w:cs="Arial"/>
                <w:b/>
                <w:bCs/>
                <w:color w:val="000000" w:themeColor="text1"/>
                <w:sz w:val="20"/>
                <w:szCs w:val="20"/>
              </w:rPr>
              <w:t>proxy-based</w:t>
            </w:r>
            <w:proofErr w:type="gramEnd"/>
            <w:r w:rsidRPr="00746FFA">
              <w:rPr>
                <w:rFonts w:ascii="Arial" w:hAnsi="Arial" w:cs="Arial"/>
                <w:b/>
                <w:bCs/>
                <w:color w:val="000000" w:themeColor="text1"/>
                <w:sz w:val="20"/>
                <w:szCs w:val="20"/>
              </w:rPr>
              <w:t>.</w:t>
            </w:r>
          </w:p>
        </w:tc>
        <w:tc>
          <w:tcPr>
            <w:tcW w:w="4320" w:type="dxa"/>
          </w:tcPr>
          <w:p w14:paraId="1F23B50D"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Use this as the theoretical justification for NTL as one recovery proxy layer.</w:t>
            </w:r>
          </w:p>
        </w:tc>
      </w:tr>
      <w:tr w:rsidR="00A37B8A" w:rsidRPr="00D87CEC" w14:paraId="694941B9" w14:textId="77777777" w:rsidTr="005A5EBA">
        <w:trPr>
          <w:cantSplit/>
          <w:jc w:val="center"/>
        </w:trPr>
        <w:tc>
          <w:tcPr>
            <w:tcW w:w="1440" w:type="dxa"/>
          </w:tcPr>
          <w:p w14:paraId="779AD6DA"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Strength</w:t>
            </w:r>
          </w:p>
        </w:tc>
        <w:tc>
          <w:tcPr>
            <w:tcW w:w="4680" w:type="dxa"/>
          </w:tcPr>
          <w:p w14:paraId="0A31522C" w14:textId="77777777" w:rsidR="00A37B8A" w:rsidRPr="00746FFA" w:rsidRDefault="00A37B8A" w:rsidP="005A5EBA">
            <w:pPr>
              <w:rPr>
                <w:rFonts w:ascii="Arial" w:hAnsi="Arial" w:cs="Arial"/>
                <w:b/>
                <w:bCs/>
                <w:color w:val="000000" w:themeColor="text1"/>
                <w:sz w:val="20"/>
                <w:szCs w:val="20"/>
              </w:rPr>
            </w:pPr>
            <w:r w:rsidRPr="00746FFA">
              <w:rPr>
                <w:rFonts w:ascii="Arial" w:hAnsi="Arial" w:cs="Arial"/>
                <w:b/>
                <w:bCs/>
                <w:color w:val="000000" w:themeColor="text1"/>
                <w:sz w:val="20"/>
                <w:szCs w:val="20"/>
              </w:rPr>
              <w:t>It moves beyond buildings by including economic and social proxies.</w:t>
            </w:r>
          </w:p>
        </w:tc>
        <w:tc>
          <w:tcPr>
            <w:tcW w:w="4320" w:type="dxa"/>
          </w:tcPr>
          <w:p w14:paraId="212A27E5"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Use this to justify settlement-stratified and function-oriented NTL analysis.</w:t>
            </w:r>
          </w:p>
        </w:tc>
      </w:tr>
      <w:tr w:rsidR="00A37B8A" w:rsidRPr="00D87CEC" w14:paraId="178CC63C" w14:textId="77777777" w:rsidTr="005A5EBA">
        <w:trPr>
          <w:cantSplit/>
          <w:jc w:val="center"/>
        </w:trPr>
        <w:tc>
          <w:tcPr>
            <w:tcW w:w="1440" w:type="dxa"/>
          </w:tcPr>
          <w:p w14:paraId="3A6B45A0"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Strength</w:t>
            </w:r>
          </w:p>
        </w:tc>
        <w:tc>
          <w:tcPr>
            <w:tcW w:w="4680" w:type="dxa"/>
          </w:tcPr>
          <w:p w14:paraId="405AE8C9" w14:textId="77777777" w:rsidR="00A37B8A" w:rsidRPr="00746FFA" w:rsidRDefault="00A37B8A" w:rsidP="005A5EBA">
            <w:pPr>
              <w:rPr>
                <w:rFonts w:ascii="Arial" w:hAnsi="Arial" w:cs="Arial"/>
                <w:b/>
                <w:bCs/>
                <w:color w:val="000000" w:themeColor="text1"/>
                <w:sz w:val="20"/>
                <w:szCs w:val="20"/>
              </w:rPr>
            </w:pPr>
            <w:r w:rsidRPr="00746FFA">
              <w:rPr>
                <w:rFonts w:ascii="Arial" w:hAnsi="Arial" w:cs="Arial"/>
                <w:b/>
                <w:bCs/>
                <w:color w:val="000000" w:themeColor="text1"/>
                <w:sz w:val="20"/>
                <w:szCs w:val="20"/>
              </w:rPr>
              <w:t>It explicitly connects recovery assessment with resilience and impact evaluation.</w:t>
            </w:r>
          </w:p>
        </w:tc>
        <w:tc>
          <w:tcPr>
            <w:tcW w:w="4320" w:type="dxa"/>
          </w:tcPr>
          <w:p w14:paraId="7AA142CE"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Use cautiously: NTL recovery can inform resilience hypotheses but cannot prove resilience.</w:t>
            </w:r>
          </w:p>
        </w:tc>
      </w:tr>
      <w:tr w:rsidR="00A37B8A" w:rsidRPr="00D87CEC" w14:paraId="1C315C3F" w14:textId="77777777" w:rsidTr="005A5EBA">
        <w:trPr>
          <w:cantSplit/>
          <w:jc w:val="center"/>
        </w:trPr>
        <w:tc>
          <w:tcPr>
            <w:tcW w:w="1440" w:type="dxa"/>
          </w:tcPr>
          <w:p w14:paraId="0E9DA6C5"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Weakness</w:t>
            </w:r>
          </w:p>
        </w:tc>
        <w:tc>
          <w:tcPr>
            <w:tcW w:w="4680" w:type="dxa"/>
          </w:tcPr>
          <w:p w14:paraId="5113852B"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It relies heavily on discrete image dates and class area/pixel counts.</w:t>
            </w:r>
          </w:p>
        </w:tc>
        <w:tc>
          <w:tcPr>
            <w:tcW w:w="4320" w:type="dxa"/>
          </w:tcPr>
          <w:p w14:paraId="74E8A5E6"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RQ2 should exploit daily temporal structure and quantify uncertainty instead of only comparing snapshots.</w:t>
            </w:r>
          </w:p>
        </w:tc>
      </w:tr>
      <w:tr w:rsidR="00A37B8A" w:rsidRPr="00D87CEC" w14:paraId="5C246488" w14:textId="77777777" w:rsidTr="005A5EBA">
        <w:trPr>
          <w:cantSplit/>
          <w:jc w:val="center"/>
        </w:trPr>
        <w:tc>
          <w:tcPr>
            <w:tcW w:w="1440" w:type="dxa"/>
          </w:tcPr>
          <w:p w14:paraId="2CACA1BF"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Weakness</w:t>
            </w:r>
          </w:p>
        </w:tc>
        <w:tc>
          <w:tcPr>
            <w:tcW w:w="4680" w:type="dxa"/>
          </w:tcPr>
          <w:p w14:paraId="75C5F373"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The method is vulnerable to damage overestimation from debris, shadows, off-nadir imagery, and LCLU confusion.</w:t>
            </w:r>
          </w:p>
        </w:tc>
        <w:tc>
          <w:tcPr>
            <w:tcW w:w="4320" w:type="dxa"/>
          </w:tcPr>
          <w:p w14:paraId="46198587"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RQ2 avoids some structural-classification problems but must handle observability and gap-filling artefacts.</w:t>
            </w:r>
          </w:p>
        </w:tc>
      </w:tr>
      <w:tr w:rsidR="00A37B8A" w:rsidRPr="00D87CEC" w14:paraId="64FD256F" w14:textId="77777777" w:rsidTr="005A5EBA">
        <w:trPr>
          <w:cantSplit/>
          <w:jc w:val="center"/>
        </w:trPr>
        <w:tc>
          <w:tcPr>
            <w:tcW w:w="1440" w:type="dxa"/>
          </w:tcPr>
          <w:p w14:paraId="7B31A319"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Weakness</w:t>
            </w:r>
          </w:p>
        </w:tc>
        <w:tc>
          <w:tcPr>
            <w:tcW w:w="4680" w:type="dxa"/>
          </w:tcPr>
          <w:p w14:paraId="3A4AF34A"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Some proxies are context-specific or acquisition-time dependent, such as vehicles and boats.</w:t>
            </w:r>
          </w:p>
        </w:tc>
        <w:tc>
          <w:tcPr>
            <w:tcW w:w="4320" w:type="dxa"/>
          </w:tcPr>
          <w:p w14:paraId="68642570"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NTL must be tested for timing, baseline variability, and observation quality before interpretation.</w:t>
            </w:r>
          </w:p>
        </w:tc>
      </w:tr>
      <w:tr w:rsidR="00A37B8A" w:rsidRPr="00D87CEC" w14:paraId="7255A21A" w14:textId="77777777" w:rsidTr="005A5EBA">
        <w:trPr>
          <w:cantSplit/>
          <w:jc w:val="center"/>
        </w:trPr>
        <w:tc>
          <w:tcPr>
            <w:tcW w:w="1440" w:type="dxa"/>
          </w:tcPr>
          <w:p w14:paraId="5E91F4CE"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Weakness</w:t>
            </w:r>
          </w:p>
        </w:tc>
        <w:tc>
          <w:tcPr>
            <w:tcW w:w="4680" w:type="dxa"/>
          </w:tcPr>
          <w:p w14:paraId="206968BE"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Recovery as resilience was not empirically confirmed.</w:t>
            </w:r>
          </w:p>
        </w:tc>
        <w:tc>
          <w:tcPr>
            <w:tcW w:w="4320" w:type="dxa"/>
          </w:tcPr>
          <w:p w14:paraId="06E3F5B4" w14:textId="77777777" w:rsidR="00A37B8A" w:rsidRPr="00D87CEC" w:rsidRDefault="00A37B8A" w:rsidP="005A5EBA">
            <w:pPr>
              <w:rPr>
                <w:rFonts w:ascii="Arial" w:hAnsi="Arial" w:cs="Arial"/>
                <w:color w:val="000000" w:themeColor="text1"/>
                <w:sz w:val="20"/>
                <w:szCs w:val="20"/>
              </w:rPr>
            </w:pPr>
            <w:r w:rsidRPr="00D87CEC">
              <w:rPr>
                <w:rFonts w:ascii="Arial" w:hAnsi="Arial" w:cs="Arial"/>
                <w:color w:val="000000" w:themeColor="text1"/>
                <w:sz w:val="20"/>
                <w:szCs w:val="20"/>
              </w:rPr>
              <w:t>Do not label fast NTL rebound as resilience without external validation or a carefully bounded claim.</w:t>
            </w:r>
          </w:p>
        </w:tc>
      </w:tr>
    </w:tbl>
    <w:p w14:paraId="5A38A3A0" w14:textId="77777777" w:rsidR="00A37B8A" w:rsidRPr="00D87CEC" w:rsidRDefault="00A37B8A" w:rsidP="00A37B8A">
      <w:pPr>
        <w:rPr>
          <w:rFonts w:ascii="Arial" w:hAnsi="Arial" w:cs="Arial"/>
          <w:color w:val="000000" w:themeColor="text1"/>
          <w:sz w:val="20"/>
          <w:szCs w:val="20"/>
        </w:rPr>
      </w:pPr>
    </w:p>
    <w:p w14:paraId="49EA056B" w14:textId="12FA6B03" w:rsidR="00A37B8A" w:rsidRPr="00A92508" w:rsidRDefault="00A37B8A" w:rsidP="00A37B8A">
      <w:pPr>
        <w:pStyle w:val="Heading1"/>
        <w:rPr>
          <w:rFonts w:ascii="Arial" w:hAnsi="Arial" w:cs="Arial"/>
          <w:b/>
          <w:bCs/>
          <w:color w:val="000000" w:themeColor="text1"/>
          <w:sz w:val="20"/>
          <w:szCs w:val="20"/>
        </w:rPr>
      </w:pPr>
      <w:bookmarkStart w:id="30" w:name="_Toc234318929"/>
      <w:r w:rsidRPr="00A92508">
        <w:rPr>
          <w:rFonts w:ascii="Arial" w:hAnsi="Arial" w:cs="Arial"/>
          <w:b/>
          <w:bCs/>
          <w:color w:val="000000" w:themeColor="text1"/>
          <w:sz w:val="20"/>
          <w:szCs w:val="20"/>
        </w:rPr>
        <w:t xml:space="preserve">7. </w:t>
      </w:r>
      <w:r w:rsidR="00A92508" w:rsidRPr="00A92508">
        <w:rPr>
          <w:rFonts w:ascii="Arial" w:hAnsi="Arial" w:cs="Arial"/>
          <w:b/>
          <w:bCs/>
          <w:color w:val="000000" w:themeColor="text1"/>
          <w:sz w:val="20"/>
          <w:szCs w:val="20"/>
        </w:rPr>
        <w:t>L</w:t>
      </w:r>
      <w:r w:rsidRPr="00A92508">
        <w:rPr>
          <w:rFonts w:ascii="Arial" w:hAnsi="Arial" w:cs="Arial"/>
          <w:b/>
          <w:bCs/>
          <w:color w:val="000000" w:themeColor="text1"/>
          <w:sz w:val="20"/>
          <w:szCs w:val="20"/>
        </w:rPr>
        <w:t>iterature review notes for RQ2</w:t>
      </w:r>
      <w:bookmarkEnd w:id="30"/>
    </w:p>
    <w:p w14:paraId="31DEC0F9" w14:textId="77777777" w:rsidR="00A37B8A" w:rsidRPr="00A92508" w:rsidRDefault="00A37B8A" w:rsidP="00A37B8A">
      <w:pPr>
        <w:pStyle w:val="Heading2"/>
        <w:rPr>
          <w:rFonts w:ascii="Arial" w:hAnsi="Arial" w:cs="Arial"/>
          <w:b/>
          <w:bCs/>
          <w:color w:val="000000" w:themeColor="text1"/>
          <w:sz w:val="20"/>
          <w:szCs w:val="20"/>
        </w:rPr>
      </w:pPr>
      <w:bookmarkStart w:id="31" w:name="_Toc234318930"/>
      <w:r w:rsidRPr="00A92508">
        <w:rPr>
          <w:rFonts w:ascii="Arial" w:hAnsi="Arial" w:cs="Arial"/>
          <w:b/>
          <w:bCs/>
          <w:color w:val="000000" w:themeColor="text1"/>
          <w:sz w:val="20"/>
          <w:szCs w:val="20"/>
        </w:rPr>
        <w:t>7.1 Draft paragraph: conceptual bridge</w:t>
      </w:r>
      <w:bookmarkEnd w:id="31"/>
    </w:p>
    <w:p w14:paraId="499DE7E6"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 xml:space="preserve">Post-disaster recovery cannot be inferred from physical reconstruction alone.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(2020) distinguishes rehabilitation, reconstruction, and recovery, emphasizing that recovery includes full functional restoration across physical, economic, social, and environmental dimensions. This distinction is important for nighttime lights research because observed radiance is not a direct measure of recovery. Instead, reliability-qualified nighttime lights provide a proxy for electricity-mediated function: the extent to which illuminated settlements, infrastructure, and activity spaces return toward their pre-event nighttime baseline. This makes NTL complementary to land cover, land use, and settlement morphology proxies rather than a substitute for them.</w:t>
      </w:r>
    </w:p>
    <w:p w14:paraId="49D63B6B" w14:textId="77777777" w:rsidR="00A37B8A" w:rsidRPr="00A92508" w:rsidRDefault="00A37B8A" w:rsidP="00A37B8A">
      <w:pPr>
        <w:pStyle w:val="Heading2"/>
        <w:rPr>
          <w:rFonts w:ascii="Arial" w:hAnsi="Arial" w:cs="Arial"/>
          <w:b/>
          <w:bCs/>
          <w:color w:val="000000" w:themeColor="text1"/>
          <w:sz w:val="20"/>
          <w:szCs w:val="20"/>
        </w:rPr>
      </w:pPr>
      <w:bookmarkStart w:id="32" w:name="_Toc234318931"/>
      <w:r w:rsidRPr="00A92508">
        <w:rPr>
          <w:rFonts w:ascii="Arial" w:hAnsi="Arial" w:cs="Arial"/>
          <w:b/>
          <w:bCs/>
          <w:color w:val="000000" w:themeColor="text1"/>
          <w:sz w:val="20"/>
          <w:szCs w:val="20"/>
        </w:rPr>
        <w:lastRenderedPageBreak/>
        <w:t>7.2 Draft paragraph: proxy reliability and observability</w:t>
      </w:r>
      <w:bookmarkEnd w:id="32"/>
    </w:p>
    <w:p w14:paraId="3AB2620C" w14:textId="77777777"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 xml:space="preserve">The remote sensing recovery literature has long relied on proxies because many recovery processes are not directly observable from imagery.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et al. (2018) define remote sensing proxies as observable physical features or measurable variables used to infer otherwise unobservable ground conditions or processes. For VIIRS Black Marble, this proxy logic requires an additional reliability condition: the satellite must first have observed the ground with sufficient quality. In cloud-impacted tropical regions, missingness, low valid-pixel coverage, and gap-filled persistence can distort apparent recovery trajectories. Therefore, observability must be assessed before interpretability, and recovery metrics should only be reported with corresponding quality and uncertainty flags.</w:t>
      </w:r>
    </w:p>
    <w:p w14:paraId="68682898" w14:textId="77777777" w:rsidR="00A37B8A" w:rsidRPr="00A92508" w:rsidRDefault="00A37B8A" w:rsidP="00A37B8A">
      <w:pPr>
        <w:pStyle w:val="Heading2"/>
        <w:rPr>
          <w:rFonts w:ascii="Arial" w:hAnsi="Arial" w:cs="Arial"/>
          <w:b/>
          <w:bCs/>
          <w:color w:val="000000" w:themeColor="text1"/>
          <w:sz w:val="20"/>
          <w:szCs w:val="20"/>
        </w:rPr>
      </w:pPr>
      <w:bookmarkStart w:id="33" w:name="_Toc234318932"/>
      <w:r w:rsidRPr="00A92508">
        <w:rPr>
          <w:rFonts w:ascii="Arial" w:hAnsi="Arial" w:cs="Arial"/>
          <w:b/>
          <w:bCs/>
          <w:color w:val="000000" w:themeColor="text1"/>
          <w:sz w:val="20"/>
          <w:szCs w:val="20"/>
        </w:rPr>
        <w:t>7.3 Draft paragraph: novelty</w:t>
      </w:r>
      <w:bookmarkEnd w:id="33"/>
    </w:p>
    <w:p w14:paraId="7EEA3EEF" w14:textId="43C41D0E" w:rsidR="00A37B8A" w:rsidRPr="00D87CEC" w:rsidRDefault="00A37B8A" w:rsidP="00A37B8A">
      <w:pPr>
        <w:rPr>
          <w:rFonts w:ascii="Arial" w:hAnsi="Arial" w:cs="Arial"/>
          <w:color w:val="000000" w:themeColor="text1"/>
          <w:sz w:val="20"/>
          <w:szCs w:val="20"/>
        </w:rPr>
      </w:pPr>
      <w:r w:rsidRPr="00D87CEC">
        <w:rPr>
          <w:rFonts w:ascii="Arial" w:hAnsi="Arial" w:cs="Arial"/>
          <w:color w:val="000000" w:themeColor="text1"/>
          <w:sz w:val="20"/>
          <w:szCs w:val="20"/>
        </w:rPr>
        <w:t xml:space="preserve">Previous work has used nighttime lights to estimate economic activity and disaster impacts, but these applications often emphasize luminosity change without fully resolving whether the daily signal is observable and interpretable under tropical cloud regimes. Building on </w:t>
      </w:r>
      <w:proofErr w:type="spellStart"/>
      <w:r w:rsidRPr="00D87CEC">
        <w:rPr>
          <w:rFonts w:ascii="Arial" w:hAnsi="Arial" w:cs="Arial"/>
          <w:color w:val="000000" w:themeColor="text1"/>
          <w:sz w:val="20"/>
          <w:szCs w:val="20"/>
        </w:rPr>
        <w:t>Ghaffarian's</w:t>
      </w:r>
      <w:proofErr w:type="spellEnd"/>
      <w:r w:rsidRPr="00D87CEC">
        <w:rPr>
          <w:rFonts w:ascii="Arial" w:hAnsi="Arial" w:cs="Arial"/>
          <w:color w:val="000000" w:themeColor="text1"/>
          <w:sz w:val="20"/>
          <w:szCs w:val="20"/>
        </w:rPr>
        <w:t xml:space="preserve"> proxy framework, this study shifts the focus from whether NTL can represent recovery in principle to when daily VIIRS Black Marble DNB-BRDF observations are reliable enough to support recovery claims. The contribution is therefore a reliability-qualified recovery framework: baseline-normalized </w:t>
      </w:r>
      <w:r w:rsidR="009B5519">
        <w:rPr>
          <w:rFonts w:ascii="Arial" w:hAnsi="Arial" w:cs="Arial"/>
          <w:color w:val="000000" w:themeColor="text1"/>
          <w:sz w:val="20"/>
          <w:szCs w:val="20"/>
        </w:rPr>
        <w:t>impact</w:t>
      </w:r>
      <w:r w:rsidRPr="00D87CEC">
        <w:rPr>
          <w:rFonts w:ascii="Arial" w:hAnsi="Arial" w:cs="Arial"/>
          <w:color w:val="000000" w:themeColor="text1"/>
          <w:sz w:val="20"/>
          <w:szCs w:val="20"/>
        </w:rPr>
        <w:t xml:space="preserve"> and recovery metrics are computed only from high-quality observations, stratified by GHSL settlement morphology, compared against gap-filled diagnostics, and reported with missingness-aware uncertainty.</w:t>
      </w:r>
    </w:p>
    <w:p w14:paraId="70A71BAA" w14:textId="77777777" w:rsidR="00765937" w:rsidRDefault="00765937" w:rsidP="00A37B8A">
      <w:pPr>
        <w:pStyle w:val="Heading1"/>
        <w:rPr>
          <w:rFonts w:ascii="Arial" w:hAnsi="Arial" w:cs="Arial"/>
          <w:b/>
          <w:bCs/>
          <w:color w:val="000000" w:themeColor="text1"/>
          <w:sz w:val="20"/>
          <w:szCs w:val="20"/>
        </w:rPr>
      </w:pPr>
    </w:p>
    <w:p w14:paraId="22AFB4DC" w14:textId="77777777" w:rsidR="00765937" w:rsidRDefault="00765937" w:rsidP="00A37B8A">
      <w:pPr>
        <w:pStyle w:val="Heading1"/>
        <w:rPr>
          <w:rFonts w:ascii="Arial" w:hAnsi="Arial" w:cs="Arial"/>
          <w:b/>
          <w:bCs/>
          <w:color w:val="000000" w:themeColor="text1"/>
          <w:sz w:val="20"/>
          <w:szCs w:val="20"/>
        </w:rPr>
      </w:pPr>
    </w:p>
    <w:p w14:paraId="06F833AA" w14:textId="77777777" w:rsidR="00765937" w:rsidRDefault="00765937" w:rsidP="00A37B8A">
      <w:pPr>
        <w:pStyle w:val="Heading1"/>
        <w:rPr>
          <w:rFonts w:ascii="Arial" w:hAnsi="Arial" w:cs="Arial"/>
          <w:b/>
          <w:bCs/>
          <w:color w:val="000000" w:themeColor="text1"/>
          <w:sz w:val="20"/>
          <w:szCs w:val="20"/>
        </w:rPr>
      </w:pPr>
    </w:p>
    <w:p w14:paraId="64C1E3A2" w14:textId="77777777" w:rsidR="00765937" w:rsidRDefault="00765937" w:rsidP="00A37B8A">
      <w:pPr>
        <w:pStyle w:val="Heading1"/>
        <w:rPr>
          <w:rFonts w:ascii="Arial" w:hAnsi="Arial" w:cs="Arial"/>
          <w:b/>
          <w:bCs/>
          <w:color w:val="000000" w:themeColor="text1"/>
          <w:sz w:val="20"/>
          <w:szCs w:val="20"/>
        </w:rPr>
      </w:pPr>
    </w:p>
    <w:p w14:paraId="7B7D505B" w14:textId="7AE2AADD" w:rsidR="00A37B8A" w:rsidRPr="00A92508" w:rsidRDefault="00A37B8A" w:rsidP="00A37B8A">
      <w:pPr>
        <w:pStyle w:val="Heading1"/>
        <w:rPr>
          <w:rFonts w:ascii="Arial" w:hAnsi="Arial" w:cs="Arial"/>
          <w:b/>
          <w:bCs/>
          <w:color w:val="000000" w:themeColor="text1"/>
          <w:sz w:val="20"/>
          <w:szCs w:val="20"/>
        </w:rPr>
      </w:pPr>
      <w:bookmarkStart w:id="34" w:name="_Toc234318933"/>
      <w:r w:rsidRPr="00A92508">
        <w:rPr>
          <w:rFonts w:ascii="Arial" w:hAnsi="Arial" w:cs="Arial"/>
          <w:b/>
          <w:bCs/>
          <w:color w:val="000000" w:themeColor="text1"/>
          <w:sz w:val="20"/>
          <w:szCs w:val="20"/>
        </w:rPr>
        <w:t>8. References used in this review</w:t>
      </w:r>
      <w:bookmarkEnd w:id="34"/>
    </w:p>
    <w:p w14:paraId="0F3C3C2E"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Acda</w:t>
      </w:r>
      <w:proofErr w:type="spellEnd"/>
      <w:r w:rsidRPr="00D87CEC">
        <w:rPr>
          <w:rFonts w:ascii="Arial" w:hAnsi="Arial" w:cs="Arial"/>
          <w:color w:val="000000" w:themeColor="text1"/>
          <w:sz w:val="20"/>
          <w:szCs w:val="20"/>
        </w:rPr>
        <w:t>, M. N. (2015). Fuel pellets from downed coconut (Cocos nucifera) in super typhoon Haiyan. Biomass &amp; Bioenergy, 83, 539-542.</w:t>
      </w:r>
    </w:p>
    <w:p w14:paraId="14DD6490"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Bertinelli, L., &amp; Strobl, E. (2013). Quantifying the local economic growth impact of hurricane strikes: An analysis from outer space for the Caribbean. Journal of Applied Meteorology and Climatology, 52(8), 1688-1697.</w:t>
      </w:r>
    </w:p>
    <w:p w14:paraId="0C67B677"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Brown, D., Platt, S., &amp; Bevington, J. (2010a). Disaster recovery indicators: Guidelines for monitoring and evaluation. Cambridge University for Risk in the Built Environment, University of Cambridge.</w:t>
      </w:r>
    </w:p>
    <w:p w14:paraId="01CFB805"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Brown, D., Saito, K., Liu, M., Spence, R., So, E., &amp; Ramage, M. (2011). The use of remotely sensed data and ground survey tools to assess damage and monitor early recovery following the 12.5.2008 Wenchuan earthquake in China. Bulletin of Earthquake Engineering, 10(3), 741-764.</w:t>
      </w:r>
    </w:p>
    <w:p w14:paraId="18D3418E"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 xml:space="preserve">Brown, D., Platt, S., Bevington, J., Saito, K., Adams, B., </w:t>
      </w:r>
      <w:proofErr w:type="spellStart"/>
      <w:r w:rsidRPr="00D87CEC">
        <w:rPr>
          <w:rFonts w:ascii="Arial" w:hAnsi="Arial" w:cs="Arial"/>
          <w:color w:val="000000" w:themeColor="text1"/>
          <w:sz w:val="20"/>
          <w:szCs w:val="20"/>
        </w:rPr>
        <w:t>Chenvidyakarn</w:t>
      </w:r>
      <w:proofErr w:type="spellEnd"/>
      <w:r w:rsidRPr="00D87CEC">
        <w:rPr>
          <w:rFonts w:ascii="Arial" w:hAnsi="Arial" w:cs="Arial"/>
          <w:color w:val="000000" w:themeColor="text1"/>
          <w:sz w:val="20"/>
          <w:szCs w:val="20"/>
        </w:rPr>
        <w:t xml:space="preserve">, T., Spence, R., </w:t>
      </w:r>
      <w:proofErr w:type="spellStart"/>
      <w:r w:rsidRPr="00D87CEC">
        <w:rPr>
          <w:rFonts w:ascii="Arial" w:hAnsi="Arial" w:cs="Arial"/>
          <w:color w:val="000000" w:themeColor="text1"/>
          <w:sz w:val="20"/>
          <w:szCs w:val="20"/>
        </w:rPr>
        <w:t>Chuenpagdee</w:t>
      </w:r>
      <w:proofErr w:type="spellEnd"/>
      <w:r w:rsidRPr="00D87CEC">
        <w:rPr>
          <w:rFonts w:ascii="Arial" w:hAnsi="Arial" w:cs="Arial"/>
          <w:color w:val="000000" w:themeColor="text1"/>
          <w:sz w:val="20"/>
          <w:szCs w:val="20"/>
        </w:rPr>
        <w:t>, R., &amp; Khan, A. (2015). Monitoring and evaluating post-disaster recovery using high-resolution satellite imagery - towards standardised indicators for post-disaster recovery. University of Cambridge.</w:t>
      </w:r>
    </w:p>
    <w:p w14:paraId="7B869EBB"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Burton, C., Mitchell, J. T., &amp; Cutter, S. L. (2011). Evaluating post-Katrina recovery in Mississippi using repeat photography. Disasters, 35(3), 488-509.</w:t>
      </w:r>
    </w:p>
    <w:p w14:paraId="76845AF9"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Chen, X., &amp; Nordhaus, W. D. (2011). Using luminosity data as a proxy for economic statistics. Proceedings of the National Academy of Sciences.</w:t>
      </w:r>
    </w:p>
    <w:p w14:paraId="4EA30A00"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lastRenderedPageBreak/>
        <w:t>Coppola, D. P. (2015). Introduction to International Disaster Management (3rd ed.). Butterworth-Heinemann.</w:t>
      </w:r>
    </w:p>
    <w:p w14:paraId="5FC39277"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Costa Viera, A., &amp; Kerle, N. (2014). Utility of geo-informatics for disaster risk management: Linking structural damage assessment, recovery and resilience. University of Twente.</w:t>
      </w:r>
    </w:p>
    <w:p w14:paraId="6CD6D1B8"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Cutter, S. L., Barnes, L., Berry, M., Burton, C., Evans, E., Tate, E., &amp; Webb, J. (2008). A place-based model for understanding community resilience to natural disasters. Global Environmental Change, 18(4), 598-606.</w:t>
      </w:r>
    </w:p>
    <w:p w14:paraId="08386EAB"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Elliott, R. J. R., Strobl, E., &amp; Sun, P. (2015). The local impact of typhoons on economic activity in China: A view from outer space. Journal of Urban Economics, 88, 50-66.</w:t>
      </w:r>
    </w:p>
    <w:p w14:paraId="77FA3C1B"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S. (2020). Post-disaster recovery assessment using remote sensing image analysis and agent-based </w:t>
      </w:r>
      <w:proofErr w:type="spellStart"/>
      <w:r w:rsidRPr="00D87CEC">
        <w:rPr>
          <w:rFonts w:ascii="Arial" w:hAnsi="Arial" w:cs="Arial"/>
          <w:color w:val="000000" w:themeColor="text1"/>
          <w:sz w:val="20"/>
          <w:szCs w:val="20"/>
        </w:rPr>
        <w:t>modeling</w:t>
      </w:r>
      <w:proofErr w:type="spellEnd"/>
      <w:r w:rsidRPr="00D87CEC">
        <w:rPr>
          <w:rFonts w:ascii="Arial" w:hAnsi="Arial" w:cs="Arial"/>
          <w:color w:val="000000" w:themeColor="text1"/>
          <w:sz w:val="20"/>
          <w:szCs w:val="20"/>
        </w:rPr>
        <w:t>. Doctoral dissertation, University of Twente.</w:t>
      </w:r>
    </w:p>
    <w:p w14:paraId="55E0DB88"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S., Kerle, N., &amp; Filatova, T. (2018). Remote sensing-based proxies for urban disaster risk management and resilience: A review. Remote Sensing, 10, 1760.</w:t>
      </w:r>
    </w:p>
    <w:p w14:paraId="2E52D6AF"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 xml:space="preserve">Gertler, P. J., Martinez, S., </w:t>
      </w:r>
      <w:proofErr w:type="spellStart"/>
      <w:r w:rsidRPr="00D87CEC">
        <w:rPr>
          <w:rFonts w:ascii="Arial" w:hAnsi="Arial" w:cs="Arial"/>
          <w:color w:val="000000" w:themeColor="text1"/>
          <w:sz w:val="20"/>
          <w:szCs w:val="20"/>
        </w:rPr>
        <w:t>Premand</w:t>
      </w:r>
      <w:proofErr w:type="spellEnd"/>
      <w:r w:rsidRPr="00D87CEC">
        <w:rPr>
          <w:rFonts w:ascii="Arial" w:hAnsi="Arial" w:cs="Arial"/>
          <w:color w:val="000000" w:themeColor="text1"/>
          <w:sz w:val="20"/>
          <w:szCs w:val="20"/>
        </w:rPr>
        <w:t>, P., Rawlings, L. B., &amp; Vermeersch, C. M. J. (2016). Impact Evaluation in Practice. World Bank.</w:t>
      </w:r>
    </w:p>
    <w:p w14:paraId="3B02CF17"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Gillespie, T. W., Frankenberg, E., Chum, K. F., &amp; Thomas, D. (2014). Night-time lights time series of tsunami damage, recovery, and economic metrics in Sumatra, Indonesia. Remote Sensing Letters, 5(3), 286-294.</w:t>
      </w:r>
    </w:p>
    <w:p w14:paraId="75CF8530"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Hallegatte</w:t>
      </w:r>
      <w:proofErr w:type="spellEnd"/>
      <w:r w:rsidRPr="00D87CEC">
        <w:rPr>
          <w:rFonts w:ascii="Arial" w:hAnsi="Arial" w:cs="Arial"/>
          <w:color w:val="000000" w:themeColor="text1"/>
          <w:sz w:val="20"/>
          <w:szCs w:val="20"/>
        </w:rPr>
        <w:t>, S., Bangalore, M., &amp; Vogt-Schilb, A. (2016). Assessing socioeconomic resilience to floods in 90 countries. World Bank Group.</w:t>
      </w:r>
    </w:p>
    <w:p w14:paraId="3535687E"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 xml:space="preserve">Kerle, N. (2015). Disaster damage mapping and related remote sensing limitations, as cited in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(2020).</w:t>
      </w:r>
    </w:p>
    <w:p w14:paraId="5CF66C62"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Kerle, N., &amp; Hoffman, R. R. (2013). Collaborative damage mapping for emergency response: The role of cognitive systems engineering. Natural Hazards and Earth System Science, 13(1), 97-113.</w:t>
      </w:r>
    </w:p>
    <w:p w14:paraId="74A8D7CC"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 xml:space="preserve">Kerle, 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S., </w:t>
      </w:r>
      <w:proofErr w:type="spellStart"/>
      <w:r w:rsidRPr="00D87CEC">
        <w:rPr>
          <w:rFonts w:ascii="Arial" w:hAnsi="Arial" w:cs="Arial"/>
          <w:color w:val="000000" w:themeColor="text1"/>
          <w:sz w:val="20"/>
          <w:szCs w:val="20"/>
        </w:rPr>
        <w:t>Nawrotzki</w:t>
      </w:r>
      <w:proofErr w:type="spellEnd"/>
      <w:r w:rsidRPr="00D87CEC">
        <w:rPr>
          <w:rFonts w:ascii="Arial" w:hAnsi="Arial" w:cs="Arial"/>
          <w:color w:val="000000" w:themeColor="text1"/>
          <w:sz w:val="20"/>
          <w:szCs w:val="20"/>
        </w:rPr>
        <w:t xml:space="preserve">, R., Leppert, G., &amp; Lech, M. (as listed in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2020). Evaluating resilience-</w:t>
      </w:r>
      <w:proofErr w:type="spellStart"/>
      <w:r w:rsidRPr="00D87CEC">
        <w:rPr>
          <w:rFonts w:ascii="Arial" w:hAnsi="Arial" w:cs="Arial"/>
          <w:color w:val="000000" w:themeColor="text1"/>
          <w:sz w:val="20"/>
          <w:szCs w:val="20"/>
        </w:rPr>
        <w:t>centered</w:t>
      </w:r>
      <w:proofErr w:type="spellEnd"/>
      <w:r w:rsidRPr="00D87CEC">
        <w:rPr>
          <w:rFonts w:ascii="Arial" w:hAnsi="Arial" w:cs="Arial"/>
          <w:color w:val="000000" w:themeColor="text1"/>
          <w:sz w:val="20"/>
          <w:szCs w:val="20"/>
        </w:rPr>
        <w:t xml:space="preserve"> development interventions with remote sensing. Remote Sensing, 11, 2511.</w:t>
      </w:r>
    </w:p>
    <w:p w14:paraId="0C6B920B"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Klomp, J. (2016). Economic development and natural disasters: A satellite data analysis. Global Environmental Change, 36, 67-88.</w:t>
      </w:r>
    </w:p>
    <w:p w14:paraId="15CE56E3"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 xml:space="preserve">Lech, M.,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S., Kerle, N., Leppert, G., </w:t>
      </w:r>
      <w:proofErr w:type="spellStart"/>
      <w:r w:rsidRPr="00D87CEC">
        <w:rPr>
          <w:rFonts w:ascii="Arial" w:hAnsi="Arial" w:cs="Arial"/>
          <w:color w:val="000000" w:themeColor="text1"/>
          <w:sz w:val="20"/>
          <w:szCs w:val="20"/>
        </w:rPr>
        <w:t>Nawrotzki</w:t>
      </w:r>
      <w:proofErr w:type="spellEnd"/>
      <w:r w:rsidRPr="00D87CEC">
        <w:rPr>
          <w:rFonts w:ascii="Arial" w:hAnsi="Arial" w:cs="Arial"/>
          <w:color w:val="000000" w:themeColor="text1"/>
          <w:sz w:val="20"/>
          <w:szCs w:val="20"/>
        </w:rPr>
        <w:t xml:space="preserve">, R., </w:t>
      </w:r>
      <w:proofErr w:type="spellStart"/>
      <w:r w:rsidRPr="00D87CEC">
        <w:rPr>
          <w:rFonts w:ascii="Arial" w:hAnsi="Arial" w:cs="Arial"/>
          <w:color w:val="000000" w:themeColor="text1"/>
          <w:sz w:val="20"/>
          <w:szCs w:val="20"/>
        </w:rPr>
        <w:t>Moull</w:t>
      </w:r>
      <w:proofErr w:type="spellEnd"/>
      <w:r w:rsidRPr="00D87CEC">
        <w:rPr>
          <w:rFonts w:ascii="Arial" w:hAnsi="Arial" w:cs="Arial"/>
          <w:color w:val="000000" w:themeColor="text1"/>
          <w:sz w:val="20"/>
          <w:szCs w:val="20"/>
        </w:rPr>
        <w:t xml:space="preserve">, K., &amp; Harten, S. (2020). A proof-of-concept of integrating machine learning, remote sensing, and survey data in evaluations: The measurement of disaster resilience in the Philippines. </w:t>
      </w:r>
      <w:proofErr w:type="spellStart"/>
      <w:r w:rsidRPr="00D87CEC">
        <w:rPr>
          <w:rFonts w:ascii="Arial" w:hAnsi="Arial" w:cs="Arial"/>
          <w:color w:val="000000" w:themeColor="text1"/>
          <w:sz w:val="20"/>
          <w:szCs w:val="20"/>
        </w:rPr>
        <w:t>DEval</w:t>
      </w:r>
      <w:proofErr w:type="spellEnd"/>
      <w:r w:rsidRPr="00D87CEC">
        <w:rPr>
          <w:rFonts w:ascii="Arial" w:hAnsi="Arial" w:cs="Arial"/>
          <w:color w:val="000000" w:themeColor="text1"/>
          <w:sz w:val="20"/>
          <w:szCs w:val="20"/>
        </w:rPr>
        <w:t xml:space="preserve"> Discussion Paper 1/2020.</w:t>
      </w:r>
    </w:p>
    <w:p w14:paraId="27E8005B"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Mellander</w:t>
      </w:r>
      <w:proofErr w:type="spellEnd"/>
      <w:r w:rsidRPr="00D87CEC">
        <w:rPr>
          <w:rFonts w:ascii="Arial" w:hAnsi="Arial" w:cs="Arial"/>
          <w:color w:val="000000" w:themeColor="text1"/>
          <w:sz w:val="20"/>
          <w:szCs w:val="20"/>
        </w:rPr>
        <w:t xml:space="preserve">, C., Lobo, J., </w:t>
      </w:r>
      <w:proofErr w:type="spellStart"/>
      <w:r w:rsidRPr="00D87CEC">
        <w:rPr>
          <w:rFonts w:ascii="Arial" w:hAnsi="Arial" w:cs="Arial"/>
          <w:color w:val="000000" w:themeColor="text1"/>
          <w:sz w:val="20"/>
          <w:szCs w:val="20"/>
        </w:rPr>
        <w:t>Stolarick</w:t>
      </w:r>
      <w:proofErr w:type="spellEnd"/>
      <w:r w:rsidRPr="00D87CEC">
        <w:rPr>
          <w:rFonts w:ascii="Arial" w:hAnsi="Arial" w:cs="Arial"/>
          <w:color w:val="000000" w:themeColor="text1"/>
          <w:sz w:val="20"/>
          <w:szCs w:val="20"/>
        </w:rPr>
        <w:t>, K., &amp; Matheson, Z. (2015). Night-time light data: A good proxy measure for economic activity? PLOS ONE, 10(10), e0139779.</w:t>
      </w:r>
    </w:p>
    <w:p w14:paraId="0A627E40"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Mohan, P., &amp; Strobl, E. (2017). The short-term economic impact of tropical Cyclone Pam: An analysis using VIIRS nightlight satellite imagery. International Journal of Remote Sensing, 38(21), 5992-6006.</w:t>
      </w:r>
    </w:p>
    <w:p w14:paraId="7F9212E5"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Nawrotzki</w:t>
      </w:r>
      <w:proofErr w:type="spellEnd"/>
      <w:r w:rsidRPr="00D87CEC">
        <w:rPr>
          <w:rFonts w:ascii="Arial" w:hAnsi="Arial" w:cs="Arial"/>
          <w:color w:val="000000" w:themeColor="text1"/>
          <w:sz w:val="20"/>
          <w:szCs w:val="20"/>
        </w:rPr>
        <w:t xml:space="preserve">, R. (2019). Remote sensing and impact evaluation advantages, as cited in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(2020).</w:t>
      </w:r>
    </w:p>
    <w:p w14:paraId="21EBDD7E"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Platt, S., Brown, D., &amp; Hughes, M. (2016). Measuring resilience and recovery. International Journal of Disaster Risk Reduction, 19, 447-460.</w:t>
      </w:r>
    </w:p>
    <w:p w14:paraId="709CFFD0"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Proville</w:t>
      </w:r>
      <w:proofErr w:type="spellEnd"/>
      <w:r w:rsidRPr="00D87CEC">
        <w:rPr>
          <w:rFonts w:ascii="Arial" w:hAnsi="Arial" w:cs="Arial"/>
          <w:color w:val="000000" w:themeColor="text1"/>
          <w:sz w:val="20"/>
          <w:szCs w:val="20"/>
        </w:rPr>
        <w:t>, J., Zavala-Araiza, D., &amp; Wagner, G. (2017). Night-time lights: A global, long-term look at links to socio-economic trends. PLOS ONE, 12(3), e0174610.</w:t>
      </w:r>
    </w:p>
    <w:p w14:paraId="520ED4FC"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Rose, A., &amp; Krausmann, E. (2013). An economic framework for the development of a resilience index for business recovery. International Journal of Disaster Risk Reduction, 5, 73-83.</w:t>
      </w:r>
    </w:p>
    <w:p w14:paraId="1E0D9C25" w14:textId="77777777" w:rsidR="00A37B8A" w:rsidRPr="00D87CEC" w:rsidRDefault="00A37B8A" w:rsidP="00A37B8A">
      <w:pPr>
        <w:spacing w:after="60"/>
        <w:ind w:left="360" w:hanging="360"/>
        <w:rPr>
          <w:rFonts w:ascii="Arial" w:hAnsi="Arial" w:cs="Arial"/>
          <w:color w:val="000000" w:themeColor="text1"/>
          <w:sz w:val="20"/>
          <w:szCs w:val="20"/>
        </w:rPr>
      </w:pPr>
      <w:proofErr w:type="spellStart"/>
      <w:r w:rsidRPr="00D87CEC">
        <w:rPr>
          <w:rFonts w:ascii="Arial" w:hAnsi="Arial" w:cs="Arial"/>
          <w:color w:val="000000" w:themeColor="text1"/>
          <w:sz w:val="20"/>
          <w:szCs w:val="20"/>
        </w:rPr>
        <w:t>Sheykhmousa</w:t>
      </w:r>
      <w:proofErr w:type="spellEnd"/>
      <w:r w:rsidRPr="00D87CEC">
        <w:rPr>
          <w:rFonts w:ascii="Arial" w:hAnsi="Arial" w:cs="Arial"/>
          <w:color w:val="000000" w:themeColor="text1"/>
          <w:sz w:val="20"/>
          <w:szCs w:val="20"/>
        </w:rPr>
        <w:t xml:space="preserve">, M., et al. (2019). Land cover/land use classification and recovery assessment work cited in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(2020).</w:t>
      </w:r>
    </w:p>
    <w:p w14:paraId="0B2BEDB1"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lastRenderedPageBreak/>
        <w:t>Sutton, P., Elvidge, C., &amp; Ghosh, T. (2007). Estimation of gross domestic product at sub-national scales using nighttime satellite imagery. International Journal of Ecological Economics &amp; Statistics, 8, 5-21.</w:t>
      </w:r>
    </w:p>
    <w:p w14:paraId="2F4A6642"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 xml:space="preserve">The World Bank. (2014). Nighttime lights as a proxy for economic resilience, as cited in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et al. (2018).</w:t>
      </w:r>
    </w:p>
    <w:p w14:paraId="5441CC57"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UNDP. (1993). Rehabilitation and reconstruction. United Nations Development Programme.</w:t>
      </w:r>
    </w:p>
    <w:p w14:paraId="7B4901B0"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UNISDR. (2009). Terminology on disaster risk reduction. United Nations International Strategy for Disaster Reduction.</w:t>
      </w:r>
    </w:p>
    <w:p w14:paraId="3AD2C635"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UNISDR. (2015). Sendai Framework for Disaster Risk Reduction 2015-2030.</w:t>
      </w:r>
    </w:p>
    <w:p w14:paraId="430AB01A" w14:textId="77777777" w:rsidR="00A37B8A" w:rsidRPr="00D87CEC" w:rsidRDefault="00A37B8A" w:rsidP="00A37B8A">
      <w:pPr>
        <w:spacing w:after="60"/>
        <w:ind w:left="360" w:hanging="360"/>
        <w:rPr>
          <w:rFonts w:ascii="Arial" w:hAnsi="Arial" w:cs="Arial"/>
          <w:color w:val="000000" w:themeColor="text1"/>
          <w:sz w:val="20"/>
          <w:szCs w:val="20"/>
        </w:rPr>
      </w:pPr>
      <w:r w:rsidRPr="00D87CEC">
        <w:rPr>
          <w:rFonts w:ascii="Arial" w:hAnsi="Arial" w:cs="Arial"/>
          <w:color w:val="000000" w:themeColor="text1"/>
          <w:sz w:val="20"/>
          <w:szCs w:val="20"/>
        </w:rPr>
        <w:t xml:space="preserve">Westrope, C., Banick, R., &amp; Levine, M. (2014). Humanitarian OpenStreetMap campaign damage overestimation in Tacloban, as cited in </w:t>
      </w:r>
      <w:proofErr w:type="spellStart"/>
      <w:r w:rsidRPr="00D87CEC">
        <w:rPr>
          <w:rFonts w:ascii="Arial" w:hAnsi="Arial" w:cs="Arial"/>
          <w:color w:val="000000" w:themeColor="text1"/>
          <w:sz w:val="20"/>
          <w:szCs w:val="20"/>
        </w:rPr>
        <w:t>Ghaffarian</w:t>
      </w:r>
      <w:proofErr w:type="spellEnd"/>
      <w:r w:rsidRPr="00D87CEC">
        <w:rPr>
          <w:rFonts w:ascii="Arial" w:hAnsi="Arial" w:cs="Arial"/>
          <w:color w:val="000000" w:themeColor="text1"/>
          <w:sz w:val="20"/>
          <w:szCs w:val="20"/>
        </w:rPr>
        <w:t xml:space="preserve"> (2020).</w:t>
      </w:r>
    </w:p>
    <w:p w14:paraId="209EB232" w14:textId="77777777" w:rsidR="00C97C46" w:rsidRPr="00D87CEC" w:rsidRDefault="00C97C46" w:rsidP="00283EDC">
      <w:pPr>
        <w:rPr>
          <w:rFonts w:ascii="Arial" w:hAnsi="Arial" w:cs="Arial"/>
          <w:color w:val="000000" w:themeColor="text1"/>
          <w:sz w:val="20"/>
          <w:szCs w:val="20"/>
        </w:rPr>
      </w:pPr>
    </w:p>
    <w:sectPr w:rsidR="00C97C46" w:rsidRPr="00D87CE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54052C" w14:textId="77777777" w:rsidR="00FD1D3E" w:rsidRDefault="00FD1D3E" w:rsidP="004833D3">
      <w:pPr>
        <w:spacing w:after="0" w:line="240" w:lineRule="auto"/>
      </w:pPr>
      <w:r>
        <w:separator/>
      </w:r>
    </w:p>
  </w:endnote>
  <w:endnote w:type="continuationSeparator" w:id="0">
    <w:p w14:paraId="7380CECB" w14:textId="77777777" w:rsidR="00FD1D3E" w:rsidRDefault="00FD1D3E" w:rsidP="004833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681548" w14:textId="77777777" w:rsidR="00FD1D3E" w:rsidRDefault="00FD1D3E" w:rsidP="004833D3">
      <w:pPr>
        <w:spacing w:after="0" w:line="240" w:lineRule="auto"/>
      </w:pPr>
      <w:r>
        <w:separator/>
      </w:r>
    </w:p>
  </w:footnote>
  <w:footnote w:type="continuationSeparator" w:id="0">
    <w:p w14:paraId="097ABE45" w14:textId="77777777" w:rsidR="00FD1D3E" w:rsidRDefault="00FD1D3E" w:rsidP="004833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7BC4AE7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A34B81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28CB1CB8"/>
    <w:multiLevelType w:val="multilevel"/>
    <w:tmpl w:val="9014D1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43E6382"/>
    <w:multiLevelType w:val="hybridMultilevel"/>
    <w:tmpl w:val="62F2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857762"/>
    <w:multiLevelType w:val="hybridMultilevel"/>
    <w:tmpl w:val="CEB44C34"/>
    <w:lvl w:ilvl="0" w:tplc="7C7C42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6190163">
    <w:abstractNumId w:val="2"/>
  </w:num>
  <w:num w:numId="2" w16cid:durableId="2040356934">
    <w:abstractNumId w:val="3"/>
  </w:num>
  <w:num w:numId="3" w16cid:durableId="1702431865">
    <w:abstractNumId w:val="4"/>
  </w:num>
  <w:num w:numId="4" w16cid:durableId="1782726945">
    <w:abstractNumId w:val="1"/>
  </w:num>
  <w:num w:numId="5" w16cid:durableId="16663238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2C0"/>
    <w:rsid w:val="00023DF0"/>
    <w:rsid w:val="000425D4"/>
    <w:rsid w:val="00090EAC"/>
    <w:rsid w:val="00093309"/>
    <w:rsid w:val="000C3476"/>
    <w:rsid w:val="00155CB9"/>
    <w:rsid w:val="00171A4B"/>
    <w:rsid w:val="00177727"/>
    <w:rsid w:val="001C0953"/>
    <w:rsid w:val="001E4743"/>
    <w:rsid w:val="001F180C"/>
    <w:rsid w:val="00236FC8"/>
    <w:rsid w:val="002472C0"/>
    <w:rsid w:val="0024748F"/>
    <w:rsid w:val="002719A6"/>
    <w:rsid w:val="00283EDC"/>
    <w:rsid w:val="00290101"/>
    <w:rsid w:val="002A3133"/>
    <w:rsid w:val="002A46BB"/>
    <w:rsid w:val="002A5E53"/>
    <w:rsid w:val="002C7FDB"/>
    <w:rsid w:val="002D387F"/>
    <w:rsid w:val="002F4A01"/>
    <w:rsid w:val="002F6031"/>
    <w:rsid w:val="003135C8"/>
    <w:rsid w:val="00366D72"/>
    <w:rsid w:val="0038486D"/>
    <w:rsid w:val="003B7E05"/>
    <w:rsid w:val="003C2533"/>
    <w:rsid w:val="003C777D"/>
    <w:rsid w:val="003E0D84"/>
    <w:rsid w:val="003F6F85"/>
    <w:rsid w:val="0040082C"/>
    <w:rsid w:val="004029D9"/>
    <w:rsid w:val="00403F2A"/>
    <w:rsid w:val="004143D7"/>
    <w:rsid w:val="00452D71"/>
    <w:rsid w:val="00456167"/>
    <w:rsid w:val="00483187"/>
    <w:rsid w:val="004833D3"/>
    <w:rsid w:val="00494460"/>
    <w:rsid w:val="004A5F9E"/>
    <w:rsid w:val="004B7EE5"/>
    <w:rsid w:val="004C55AC"/>
    <w:rsid w:val="004F380D"/>
    <w:rsid w:val="00520A89"/>
    <w:rsid w:val="00523EB9"/>
    <w:rsid w:val="0053419F"/>
    <w:rsid w:val="00547EB8"/>
    <w:rsid w:val="00575BF6"/>
    <w:rsid w:val="00576513"/>
    <w:rsid w:val="005820A7"/>
    <w:rsid w:val="005870F7"/>
    <w:rsid w:val="005902E5"/>
    <w:rsid w:val="005910E8"/>
    <w:rsid w:val="00607EE5"/>
    <w:rsid w:val="006331E8"/>
    <w:rsid w:val="006362B4"/>
    <w:rsid w:val="00656B03"/>
    <w:rsid w:val="00693E05"/>
    <w:rsid w:val="006A60E2"/>
    <w:rsid w:val="006B1C21"/>
    <w:rsid w:val="006C2EF6"/>
    <w:rsid w:val="006C5F39"/>
    <w:rsid w:val="006C66C8"/>
    <w:rsid w:val="006E4648"/>
    <w:rsid w:val="00704931"/>
    <w:rsid w:val="00746FE9"/>
    <w:rsid w:val="00746FFA"/>
    <w:rsid w:val="00761E7E"/>
    <w:rsid w:val="00763F42"/>
    <w:rsid w:val="00765937"/>
    <w:rsid w:val="00783DF7"/>
    <w:rsid w:val="007858CD"/>
    <w:rsid w:val="00797AA2"/>
    <w:rsid w:val="007B55D6"/>
    <w:rsid w:val="007E0CB1"/>
    <w:rsid w:val="008171A4"/>
    <w:rsid w:val="00847E70"/>
    <w:rsid w:val="008876A7"/>
    <w:rsid w:val="008D48DF"/>
    <w:rsid w:val="008E4CE6"/>
    <w:rsid w:val="00912979"/>
    <w:rsid w:val="009900FF"/>
    <w:rsid w:val="009A35B8"/>
    <w:rsid w:val="009A46E4"/>
    <w:rsid w:val="009B044A"/>
    <w:rsid w:val="009B362E"/>
    <w:rsid w:val="009B5519"/>
    <w:rsid w:val="009B610D"/>
    <w:rsid w:val="009B6EC7"/>
    <w:rsid w:val="009B7106"/>
    <w:rsid w:val="009C70B6"/>
    <w:rsid w:val="009F53D4"/>
    <w:rsid w:val="00A176B2"/>
    <w:rsid w:val="00A37B8A"/>
    <w:rsid w:val="00A4463C"/>
    <w:rsid w:val="00A644E5"/>
    <w:rsid w:val="00A70259"/>
    <w:rsid w:val="00A80145"/>
    <w:rsid w:val="00A81B1E"/>
    <w:rsid w:val="00A92508"/>
    <w:rsid w:val="00A97D36"/>
    <w:rsid w:val="00AC4734"/>
    <w:rsid w:val="00AC66E5"/>
    <w:rsid w:val="00AD2E00"/>
    <w:rsid w:val="00AE61E1"/>
    <w:rsid w:val="00B3166D"/>
    <w:rsid w:val="00B405C2"/>
    <w:rsid w:val="00B81085"/>
    <w:rsid w:val="00B96683"/>
    <w:rsid w:val="00BA71FB"/>
    <w:rsid w:val="00BD0C64"/>
    <w:rsid w:val="00BD1278"/>
    <w:rsid w:val="00BD4BF1"/>
    <w:rsid w:val="00BD665A"/>
    <w:rsid w:val="00C25508"/>
    <w:rsid w:val="00C43160"/>
    <w:rsid w:val="00C65B5C"/>
    <w:rsid w:val="00C67332"/>
    <w:rsid w:val="00C8260C"/>
    <w:rsid w:val="00C85324"/>
    <w:rsid w:val="00C97C46"/>
    <w:rsid w:val="00CA6E52"/>
    <w:rsid w:val="00CB6EA6"/>
    <w:rsid w:val="00CC2D7A"/>
    <w:rsid w:val="00CC31BA"/>
    <w:rsid w:val="00CD5EE5"/>
    <w:rsid w:val="00D1012A"/>
    <w:rsid w:val="00D534D1"/>
    <w:rsid w:val="00D87CEC"/>
    <w:rsid w:val="00DA14DB"/>
    <w:rsid w:val="00DA2E93"/>
    <w:rsid w:val="00DB2536"/>
    <w:rsid w:val="00DC44F6"/>
    <w:rsid w:val="00E034D2"/>
    <w:rsid w:val="00E1176B"/>
    <w:rsid w:val="00E24A44"/>
    <w:rsid w:val="00E73810"/>
    <w:rsid w:val="00E73972"/>
    <w:rsid w:val="00EA0B7D"/>
    <w:rsid w:val="00EA2D72"/>
    <w:rsid w:val="00EC69F5"/>
    <w:rsid w:val="00ED290F"/>
    <w:rsid w:val="00EE3424"/>
    <w:rsid w:val="00EF084A"/>
    <w:rsid w:val="00F00244"/>
    <w:rsid w:val="00F060F9"/>
    <w:rsid w:val="00F15A34"/>
    <w:rsid w:val="00F57EB6"/>
    <w:rsid w:val="00F776D1"/>
    <w:rsid w:val="00F8319F"/>
    <w:rsid w:val="00F85CB9"/>
    <w:rsid w:val="00FD1D3E"/>
    <w:rsid w:val="00FE1C5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49684"/>
  <w15:chartTrackingRefBased/>
  <w15:docId w15:val="{C646C41A-6DF0-5145-81E1-4ECCB0F51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2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72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2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2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2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2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2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2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2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2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72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2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2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2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2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2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2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2C0"/>
    <w:rPr>
      <w:rFonts w:eastAsiaTheme="majorEastAsia" w:cstheme="majorBidi"/>
      <w:color w:val="272727" w:themeColor="text1" w:themeTint="D8"/>
    </w:rPr>
  </w:style>
  <w:style w:type="paragraph" w:styleId="Title">
    <w:name w:val="Title"/>
    <w:basedOn w:val="Normal"/>
    <w:next w:val="Normal"/>
    <w:link w:val="TitleChar"/>
    <w:uiPriority w:val="10"/>
    <w:qFormat/>
    <w:rsid w:val="00247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2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2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2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2C0"/>
    <w:pPr>
      <w:spacing w:before="160"/>
      <w:jc w:val="center"/>
    </w:pPr>
    <w:rPr>
      <w:i/>
      <w:iCs/>
      <w:color w:val="404040" w:themeColor="text1" w:themeTint="BF"/>
    </w:rPr>
  </w:style>
  <w:style w:type="character" w:customStyle="1" w:styleId="QuoteChar">
    <w:name w:val="Quote Char"/>
    <w:basedOn w:val="DefaultParagraphFont"/>
    <w:link w:val="Quote"/>
    <w:uiPriority w:val="29"/>
    <w:rsid w:val="002472C0"/>
    <w:rPr>
      <w:i/>
      <w:iCs/>
      <w:color w:val="404040" w:themeColor="text1" w:themeTint="BF"/>
    </w:rPr>
  </w:style>
  <w:style w:type="paragraph" w:styleId="ListParagraph">
    <w:name w:val="List Paragraph"/>
    <w:basedOn w:val="Normal"/>
    <w:uiPriority w:val="34"/>
    <w:qFormat/>
    <w:rsid w:val="002472C0"/>
    <w:pPr>
      <w:ind w:left="720"/>
      <w:contextualSpacing/>
    </w:pPr>
  </w:style>
  <w:style w:type="character" w:styleId="IntenseEmphasis">
    <w:name w:val="Intense Emphasis"/>
    <w:basedOn w:val="DefaultParagraphFont"/>
    <w:uiPriority w:val="21"/>
    <w:qFormat/>
    <w:rsid w:val="002472C0"/>
    <w:rPr>
      <w:i/>
      <w:iCs/>
      <w:color w:val="0F4761" w:themeColor="accent1" w:themeShade="BF"/>
    </w:rPr>
  </w:style>
  <w:style w:type="paragraph" w:styleId="IntenseQuote">
    <w:name w:val="Intense Quote"/>
    <w:basedOn w:val="Normal"/>
    <w:next w:val="Normal"/>
    <w:link w:val="IntenseQuoteChar"/>
    <w:uiPriority w:val="30"/>
    <w:qFormat/>
    <w:rsid w:val="002472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2C0"/>
    <w:rPr>
      <w:i/>
      <w:iCs/>
      <w:color w:val="0F4761" w:themeColor="accent1" w:themeShade="BF"/>
    </w:rPr>
  </w:style>
  <w:style w:type="character" w:styleId="IntenseReference">
    <w:name w:val="Intense Reference"/>
    <w:basedOn w:val="DefaultParagraphFont"/>
    <w:uiPriority w:val="32"/>
    <w:qFormat/>
    <w:rsid w:val="002472C0"/>
    <w:rPr>
      <w:b/>
      <w:bCs/>
      <w:smallCaps/>
      <w:color w:val="0F4761" w:themeColor="accent1" w:themeShade="BF"/>
      <w:spacing w:val="5"/>
    </w:rPr>
  </w:style>
  <w:style w:type="paragraph" w:styleId="NormalWeb">
    <w:name w:val="Normal (Web)"/>
    <w:basedOn w:val="Normal"/>
    <w:uiPriority w:val="99"/>
    <w:semiHidden/>
    <w:unhideWhenUsed/>
    <w:rsid w:val="002472C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4833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33D3"/>
  </w:style>
  <w:style w:type="paragraph" w:styleId="Footer">
    <w:name w:val="footer"/>
    <w:basedOn w:val="Normal"/>
    <w:link w:val="FooterChar"/>
    <w:uiPriority w:val="99"/>
    <w:unhideWhenUsed/>
    <w:rsid w:val="004833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33D3"/>
  </w:style>
  <w:style w:type="table" w:styleId="TableGrid">
    <w:name w:val="Table Grid"/>
    <w:basedOn w:val="TableNormal"/>
    <w:uiPriority w:val="59"/>
    <w:rsid w:val="004833D3"/>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A37B8A"/>
    <w:pPr>
      <w:numPr>
        <w:numId w:val="4"/>
      </w:numPr>
      <w:tabs>
        <w:tab w:val="clear" w:pos="360"/>
      </w:tabs>
      <w:spacing w:after="120" w:line="259" w:lineRule="auto"/>
      <w:ind w:left="0" w:firstLine="0"/>
      <w:contextualSpacing/>
    </w:pPr>
    <w:rPr>
      <w:rFonts w:ascii="Arial" w:eastAsia="Arial" w:hAnsi="Arial"/>
      <w:kern w:val="0"/>
      <w:sz w:val="20"/>
      <w:szCs w:val="22"/>
      <w:lang w:val="en-US"/>
      <w14:ligatures w14:val="none"/>
    </w:rPr>
  </w:style>
  <w:style w:type="paragraph" w:styleId="ListNumber">
    <w:name w:val="List Number"/>
    <w:basedOn w:val="Normal"/>
    <w:uiPriority w:val="99"/>
    <w:unhideWhenUsed/>
    <w:rsid w:val="00A37B8A"/>
    <w:pPr>
      <w:numPr>
        <w:numId w:val="5"/>
      </w:numPr>
      <w:tabs>
        <w:tab w:val="clear" w:pos="360"/>
      </w:tabs>
      <w:spacing w:after="120" w:line="259" w:lineRule="auto"/>
      <w:ind w:left="0" w:firstLine="0"/>
      <w:contextualSpacing/>
    </w:pPr>
    <w:rPr>
      <w:rFonts w:ascii="Arial" w:eastAsia="Arial" w:hAnsi="Arial"/>
      <w:kern w:val="0"/>
      <w:sz w:val="20"/>
      <w:szCs w:val="22"/>
      <w:lang w:val="en-US"/>
      <w14:ligatures w14:val="none"/>
    </w:rPr>
  </w:style>
  <w:style w:type="paragraph" w:styleId="TOCHeading">
    <w:name w:val="TOC Heading"/>
    <w:basedOn w:val="Heading1"/>
    <w:next w:val="Normal"/>
    <w:uiPriority w:val="39"/>
    <w:unhideWhenUsed/>
    <w:qFormat/>
    <w:rsid w:val="00290101"/>
    <w:pPr>
      <w:spacing w:before="480" w:after="0" w:line="276" w:lineRule="auto"/>
      <w:outlineLvl w:val="9"/>
    </w:pPr>
    <w:rPr>
      <w:b/>
      <w:bCs/>
      <w:kern w:val="0"/>
      <w:sz w:val="28"/>
      <w:szCs w:val="28"/>
      <w:lang w:val="en-US"/>
      <w14:ligatures w14:val="none"/>
    </w:rPr>
  </w:style>
  <w:style w:type="paragraph" w:styleId="TOC2">
    <w:name w:val="toc 2"/>
    <w:basedOn w:val="Normal"/>
    <w:next w:val="Normal"/>
    <w:autoRedefine/>
    <w:uiPriority w:val="39"/>
    <w:unhideWhenUsed/>
    <w:rsid w:val="00290101"/>
    <w:pPr>
      <w:spacing w:before="120" w:after="0"/>
      <w:ind w:left="240"/>
    </w:pPr>
    <w:rPr>
      <w:b/>
      <w:bCs/>
      <w:sz w:val="22"/>
      <w:szCs w:val="22"/>
    </w:rPr>
  </w:style>
  <w:style w:type="paragraph" w:styleId="TOC1">
    <w:name w:val="toc 1"/>
    <w:basedOn w:val="Normal"/>
    <w:next w:val="Normal"/>
    <w:autoRedefine/>
    <w:uiPriority w:val="39"/>
    <w:unhideWhenUsed/>
    <w:rsid w:val="00290101"/>
    <w:pPr>
      <w:spacing w:before="120" w:after="0"/>
    </w:pPr>
    <w:rPr>
      <w:b/>
      <w:bCs/>
      <w:i/>
      <w:iCs/>
    </w:rPr>
  </w:style>
  <w:style w:type="character" w:styleId="Hyperlink">
    <w:name w:val="Hyperlink"/>
    <w:basedOn w:val="DefaultParagraphFont"/>
    <w:uiPriority w:val="99"/>
    <w:unhideWhenUsed/>
    <w:rsid w:val="00290101"/>
    <w:rPr>
      <w:color w:val="467886" w:themeColor="hyperlink"/>
      <w:u w:val="single"/>
    </w:rPr>
  </w:style>
  <w:style w:type="paragraph" w:styleId="TOC3">
    <w:name w:val="toc 3"/>
    <w:basedOn w:val="Normal"/>
    <w:next w:val="Normal"/>
    <w:autoRedefine/>
    <w:uiPriority w:val="39"/>
    <w:semiHidden/>
    <w:unhideWhenUsed/>
    <w:rsid w:val="00290101"/>
    <w:pPr>
      <w:spacing w:after="0"/>
      <w:ind w:left="480"/>
    </w:pPr>
    <w:rPr>
      <w:sz w:val="20"/>
      <w:szCs w:val="20"/>
    </w:rPr>
  </w:style>
  <w:style w:type="paragraph" w:styleId="TOC4">
    <w:name w:val="toc 4"/>
    <w:basedOn w:val="Normal"/>
    <w:next w:val="Normal"/>
    <w:autoRedefine/>
    <w:uiPriority w:val="39"/>
    <w:semiHidden/>
    <w:unhideWhenUsed/>
    <w:rsid w:val="00290101"/>
    <w:pPr>
      <w:spacing w:after="0"/>
      <w:ind w:left="720"/>
    </w:pPr>
    <w:rPr>
      <w:sz w:val="20"/>
      <w:szCs w:val="20"/>
    </w:rPr>
  </w:style>
  <w:style w:type="paragraph" w:styleId="TOC5">
    <w:name w:val="toc 5"/>
    <w:basedOn w:val="Normal"/>
    <w:next w:val="Normal"/>
    <w:autoRedefine/>
    <w:uiPriority w:val="39"/>
    <w:semiHidden/>
    <w:unhideWhenUsed/>
    <w:rsid w:val="00290101"/>
    <w:pPr>
      <w:spacing w:after="0"/>
      <w:ind w:left="960"/>
    </w:pPr>
    <w:rPr>
      <w:sz w:val="20"/>
      <w:szCs w:val="20"/>
    </w:rPr>
  </w:style>
  <w:style w:type="paragraph" w:styleId="TOC6">
    <w:name w:val="toc 6"/>
    <w:basedOn w:val="Normal"/>
    <w:next w:val="Normal"/>
    <w:autoRedefine/>
    <w:uiPriority w:val="39"/>
    <w:semiHidden/>
    <w:unhideWhenUsed/>
    <w:rsid w:val="00290101"/>
    <w:pPr>
      <w:spacing w:after="0"/>
      <w:ind w:left="1200"/>
    </w:pPr>
    <w:rPr>
      <w:sz w:val="20"/>
      <w:szCs w:val="20"/>
    </w:rPr>
  </w:style>
  <w:style w:type="paragraph" w:styleId="TOC7">
    <w:name w:val="toc 7"/>
    <w:basedOn w:val="Normal"/>
    <w:next w:val="Normal"/>
    <w:autoRedefine/>
    <w:uiPriority w:val="39"/>
    <w:semiHidden/>
    <w:unhideWhenUsed/>
    <w:rsid w:val="00290101"/>
    <w:pPr>
      <w:spacing w:after="0"/>
      <w:ind w:left="1440"/>
    </w:pPr>
    <w:rPr>
      <w:sz w:val="20"/>
      <w:szCs w:val="20"/>
    </w:rPr>
  </w:style>
  <w:style w:type="paragraph" w:styleId="TOC8">
    <w:name w:val="toc 8"/>
    <w:basedOn w:val="Normal"/>
    <w:next w:val="Normal"/>
    <w:autoRedefine/>
    <w:uiPriority w:val="39"/>
    <w:semiHidden/>
    <w:unhideWhenUsed/>
    <w:rsid w:val="00290101"/>
    <w:pPr>
      <w:spacing w:after="0"/>
      <w:ind w:left="1680"/>
    </w:pPr>
    <w:rPr>
      <w:sz w:val="20"/>
      <w:szCs w:val="20"/>
    </w:rPr>
  </w:style>
  <w:style w:type="paragraph" w:styleId="TOC9">
    <w:name w:val="toc 9"/>
    <w:basedOn w:val="Normal"/>
    <w:next w:val="Normal"/>
    <w:autoRedefine/>
    <w:uiPriority w:val="39"/>
    <w:semiHidden/>
    <w:unhideWhenUsed/>
    <w:rsid w:val="00290101"/>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3758C7-3A3E-C345-84C2-BECEB5C1BA43}">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68</TotalTime>
  <Pages>15</Pages>
  <Words>7340</Words>
  <Characters>41843</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Rene Principe</dc:creator>
  <cp:keywords/>
  <dc:description/>
  <cp:lastModifiedBy>Rene Jr Principe</cp:lastModifiedBy>
  <cp:revision>58</cp:revision>
  <dcterms:created xsi:type="dcterms:W3CDTF">2026-07-01T06:31:00Z</dcterms:created>
  <dcterms:modified xsi:type="dcterms:W3CDTF">2026-07-07T02:15:00Z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BEBC6F4D-BB02-4FAE-AF19-BA84628E2291</vt:lpwstr>
  </property>
</Properties>
</file>