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A474C" w14:textId="77777777" w:rsidR="00EA222E" w:rsidRPr="003B65A2" w:rsidRDefault="00EA222E" w:rsidP="00EA222E">
      <w:pPr>
        <w:ind w:left="720" w:hanging="360"/>
        <w:rPr>
          <w:rFonts w:ascii="Arial" w:hAnsi="Arial" w:cs="Arial"/>
          <w:b/>
          <w:bCs/>
          <w:color w:val="000000" w:themeColor="text1"/>
          <w:sz w:val="20"/>
          <w:szCs w:val="20"/>
        </w:rPr>
      </w:pPr>
      <w:r w:rsidRPr="003B65A2">
        <w:rPr>
          <w:rFonts w:ascii="Arial" w:hAnsi="Arial" w:cs="Arial"/>
          <w:b/>
          <w:bCs/>
          <w:color w:val="000000" w:themeColor="text1"/>
          <w:sz w:val="20"/>
          <w:szCs w:val="20"/>
        </w:rPr>
        <w:t>References:</w:t>
      </w:r>
    </w:p>
    <w:p w14:paraId="503E266B" w14:textId="77777777" w:rsidR="00EA222E" w:rsidRPr="00F67D62" w:rsidRDefault="00EA222E">
      <w:pPr>
        <w:pStyle w:val="NormalWeb"/>
        <w:numPr>
          <w:ilvl w:val="0"/>
          <w:numId w:val="1"/>
        </w:numPr>
        <w:rPr>
          <w:rFonts w:ascii="Arial" w:hAnsi="Arial" w:cs="Arial"/>
          <w:color w:val="000000" w:themeColor="text1"/>
          <w:sz w:val="20"/>
          <w:szCs w:val="20"/>
        </w:rPr>
      </w:pPr>
      <w:r w:rsidRPr="00F67D62">
        <w:rPr>
          <w:rFonts w:ascii="Arial" w:hAnsi="Arial" w:cs="Arial"/>
          <w:color w:val="000000" w:themeColor="text1"/>
          <w:sz w:val="20"/>
          <w:szCs w:val="20"/>
        </w:rPr>
        <w:t>Jia et al. (2023) on anisotropy of nightlight measurements</w:t>
      </w:r>
    </w:p>
    <w:p w14:paraId="7B54C1B7" w14:textId="77777777" w:rsidR="00EA222E" w:rsidRPr="00F67D62" w:rsidRDefault="00EA222E">
      <w:pPr>
        <w:pStyle w:val="NormalWeb"/>
        <w:numPr>
          <w:ilvl w:val="0"/>
          <w:numId w:val="1"/>
        </w:numPr>
        <w:rPr>
          <w:rFonts w:ascii="Arial" w:hAnsi="Arial" w:cs="Arial"/>
          <w:color w:val="000000" w:themeColor="text1"/>
          <w:sz w:val="20"/>
          <w:szCs w:val="20"/>
        </w:rPr>
      </w:pPr>
      <w:r w:rsidRPr="00F67D62">
        <w:rPr>
          <w:rFonts w:ascii="Arial" w:hAnsi="Arial" w:cs="Arial"/>
          <w:color w:val="000000" w:themeColor="text1"/>
          <w:sz w:val="20"/>
          <w:szCs w:val="20"/>
        </w:rPr>
        <w:t>Hung et al. (2021) Changes in night sky brightness after a countywide LED retrofit (</w:t>
      </w:r>
      <w:proofErr w:type="spellStart"/>
      <w:r w:rsidRPr="00F67D62">
        <w:rPr>
          <w:rFonts w:ascii="Arial" w:hAnsi="Arial" w:cs="Arial"/>
          <w:color w:val="000000" w:themeColor="text1"/>
          <w:sz w:val="20"/>
          <w:szCs w:val="20"/>
        </w:rPr>
        <w:t>ArXiv</w:t>
      </w:r>
      <w:proofErr w:type="spellEnd"/>
      <w:r w:rsidRPr="00F67D62">
        <w:rPr>
          <w:rFonts w:ascii="Arial" w:hAnsi="Arial" w:cs="Arial"/>
          <w:color w:val="000000" w:themeColor="text1"/>
          <w:sz w:val="20"/>
          <w:szCs w:val="20"/>
        </w:rPr>
        <w:t>)</w:t>
      </w:r>
    </w:p>
    <w:p w14:paraId="60038F07" w14:textId="77777777" w:rsidR="00EA222E" w:rsidRPr="00F67D62" w:rsidRDefault="00EA222E">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S., Roy, D., Filatova, T. &amp; Kerle, N. (2021) Agent-based modelling of post-disaster recovery with remote sensing data. Computers, Environment and Urban Systems, 60, 15 p.</w:t>
      </w:r>
    </w:p>
    <w:p w14:paraId="0392DD22" w14:textId="77777777" w:rsidR="00EA222E" w:rsidRPr="00F67D62" w:rsidRDefault="00EA222E">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S., </w:t>
      </w: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Farhadabad</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A.R. &amp; Kerle, N. (2020) Post-disaster recovery monitoring with Google Earth Engine. International Journal of Geo-Information, 10(13), 4574.</w:t>
      </w:r>
    </w:p>
    <w:p w14:paraId="343A0FCF" w14:textId="77777777" w:rsidR="00EA222E" w:rsidRPr="00F67D62" w:rsidRDefault="00EA222E">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S., Kerle, N., </w:t>
      </w: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Pasolli</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E. &amp; Jokar Arsanjani, J. (2019) Post-disaster building database updating using automated deep learning with pre-disaster </w:t>
      </w: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Openstreetmap</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and multi-temporal satellite data. Remote Sensing, 11(20), 2427.</w:t>
      </w:r>
    </w:p>
    <w:p w14:paraId="16E78DDA" w14:textId="77777777" w:rsidR="0061378D" w:rsidRPr="00F67D62" w:rsidRDefault="00EA222E" w:rsidP="0061378D">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S. &amp; Kerle, N. (2019) Towards post-disaster debris identification for precise damage and recovery assessments from UAV and satellite images. ISPRS Archives of the Photogrammetry, Remote Sensing and Spatial Information Sciences, 42(2/W13), 7 p.</w:t>
      </w:r>
    </w:p>
    <w:p w14:paraId="10124E80" w14:textId="77777777" w:rsidR="0061378D" w:rsidRPr="00F67D62" w:rsidRDefault="00DC0445" w:rsidP="0061378D">
      <w:pPr>
        <w:numPr>
          <w:ilvl w:val="0"/>
          <w:numId w:val="1"/>
        </w:numPr>
        <w:spacing w:after="0" w:line="240" w:lineRule="auto"/>
        <w:rPr>
          <w:rFonts w:ascii="Arial" w:eastAsia="Times New Roman" w:hAnsi="Arial" w:cs="Arial"/>
          <w:color w:val="000000" w:themeColor="text1"/>
          <w:kern w:val="0"/>
          <w:sz w:val="20"/>
          <w:szCs w:val="20"/>
          <w:lang w:eastAsia="en-GB"/>
          <w14:ligatures w14:val="none"/>
        </w:rPr>
      </w:pPr>
      <w:r w:rsidRPr="00F67D62">
        <w:rPr>
          <w:rFonts w:ascii="Arial" w:hAnsi="Arial" w:cs="Arial"/>
          <w:color w:val="000000"/>
          <w:sz w:val="20"/>
          <w:szCs w:val="20"/>
        </w:rPr>
        <w:t>Validating Nighttime Light Satellite Data as a Proxy: Quantifying Tropical Cyclone Impacts and Recovery in the Philippines</w:t>
      </w:r>
      <w:r w:rsidR="005A32C3" w:rsidRPr="00F67D62">
        <w:rPr>
          <w:rFonts w:ascii="Arial" w:hAnsi="Arial" w:cs="Arial"/>
          <w:color w:val="000000"/>
          <w:sz w:val="20"/>
          <w:szCs w:val="20"/>
        </w:rPr>
        <w:t xml:space="preserve"> by Elena Morais</w:t>
      </w:r>
    </w:p>
    <w:p w14:paraId="7DB93BBF" w14:textId="77777777" w:rsidR="0061378D" w:rsidRPr="00F67D62" w:rsidRDefault="0061378D" w:rsidP="0061378D">
      <w:pPr>
        <w:spacing w:after="0" w:line="240" w:lineRule="auto"/>
        <w:ind w:left="1440"/>
        <w:rPr>
          <w:rFonts w:ascii="Arial" w:hAnsi="Arial" w:cs="Arial"/>
          <w:color w:val="000000"/>
          <w:sz w:val="20"/>
          <w:szCs w:val="20"/>
        </w:rPr>
      </w:pPr>
    </w:p>
    <w:p w14:paraId="2459141C" w14:textId="5DCC3279" w:rsidR="00AF51EF" w:rsidRPr="00F67D62" w:rsidRDefault="00AF51EF" w:rsidP="0061378D">
      <w:pPr>
        <w:spacing w:after="0" w:line="240" w:lineRule="auto"/>
        <w:ind w:left="1440"/>
        <w:rPr>
          <w:rFonts w:ascii="Arial" w:eastAsia="Times New Roman" w:hAnsi="Arial" w:cs="Arial"/>
          <w:color w:val="000000" w:themeColor="text1"/>
          <w:kern w:val="0"/>
          <w:sz w:val="20"/>
          <w:szCs w:val="20"/>
          <w:highlight w:val="yellow"/>
          <w:lang w:eastAsia="en-GB"/>
          <w14:ligatures w14:val="none"/>
        </w:rPr>
      </w:pPr>
      <w:r w:rsidRPr="00F67D62">
        <w:rPr>
          <w:rFonts w:ascii="Arial" w:hAnsi="Arial" w:cs="Arial"/>
          <w:color w:val="000000"/>
          <w:sz w:val="20"/>
          <w:szCs w:val="20"/>
        </w:rPr>
        <w:t>Abstract</w:t>
      </w:r>
      <w:r w:rsidR="0061378D" w:rsidRPr="00F67D62">
        <w:rPr>
          <w:rFonts w:ascii="Arial" w:eastAsia="Times New Roman" w:hAnsi="Arial" w:cs="Arial"/>
          <w:color w:val="000000" w:themeColor="text1"/>
          <w:kern w:val="0"/>
          <w:sz w:val="20"/>
          <w:szCs w:val="20"/>
          <w:lang w:eastAsia="en-GB"/>
          <w14:ligatures w14:val="none"/>
        </w:rPr>
        <w:t xml:space="preserve">: </w:t>
      </w:r>
      <w:r w:rsidRPr="00F67D62">
        <w:rPr>
          <w:rFonts w:ascii="Arial" w:hAnsi="Arial" w:cs="Arial"/>
          <w:color w:val="000000"/>
          <w:sz w:val="20"/>
          <w:szCs w:val="20"/>
        </w:rPr>
        <w:t xml:space="preserve">As the number of populations exposed to and impacted by tropical cyclones continues to grow annually, the need to quickly quantify and monitor impact and recovery has likewise increased. Both have historically proven difficult, with data collection lagging days or months behind the event, hindering timely resource allocation. Many studies have explored the use of nighttime lights post-disaster, but validation against independent ground-truth impact data remains limited. Further, studies have noted a discrepancy in recovery between underprivileged communities and areas where nighttime light can further obscure them, raising questions about equity and justice. This study aims to verify the use of </w:t>
      </w:r>
      <w:proofErr w:type="spellStart"/>
      <w:r w:rsidRPr="00F67D62">
        <w:rPr>
          <w:rFonts w:ascii="Arial" w:hAnsi="Arial" w:cs="Arial"/>
          <w:color w:val="000000"/>
          <w:sz w:val="20"/>
          <w:szCs w:val="20"/>
        </w:rPr>
        <w:t>preprocessed</w:t>
      </w:r>
      <w:proofErr w:type="spellEnd"/>
      <w:r w:rsidRPr="00F67D62">
        <w:rPr>
          <w:rFonts w:ascii="Arial" w:hAnsi="Arial" w:cs="Arial"/>
          <w:color w:val="000000"/>
          <w:sz w:val="20"/>
          <w:szCs w:val="20"/>
        </w:rPr>
        <w:t xml:space="preserve"> nighttime light as a proxy for the magnitude and location of impact and recovery time. Using predictive </w:t>
      </w:r>
      <w:proofErr w:type="spellStart"/>
      <w:r w:rsidRPr="00F67D62">
        <w:rPr>
          <w:rFonts w:ascii="Arial" w:hAnsi="Arial" w:cs="Arial"/>
          <w:color w:val="000000"/>
          <w:sz w:val="20"/>
          <w:szCs w:val="20"/>
        </w:rPr>
        <w:t>modeling</w:t>
      </w:r>
      <w:proofErr w:type="spellEnd"/>
      <w:r w:rsidRPr="00F67D62">
        <w:rPr>
          <w:rFonts w:ascii="Arial" w:hAnsi="Arial" w:cs="Arial"/>
          <w:color w:val="000000"/>
          <w:sz w:val="20"/>
          <w:szCs w:val="20"/>
        </w:rPr>
        <w:t xml:space="preserve"> and correlation and residual analyses, this study will verify the predictive utility of NTL-based metrics and their social vulnerability implications. Insights from this research can be extended globally, where ground-truth data is not readily available, and provide insights into affected communities.</w:t>
      </w:r>
    </w:p>
    <w:p w14:paraId="7F5CEA48" w14:textId="77777777" w:rsidR="002B0DD2" w:rsidRPr="00F67D62" w:rsidRDefault="002B0DD2" w:rsidP="00AB0823">
      <w:pPr>
        <w:spacing w:after="0" w:line="240" w:lineRule="auto"/>
        <w:rPr>
          <w:rFonts w:ascii="Arial" w:hAnsi="Arial" w:cs="Arial"/>
          <w:color w:val="000000"/>
          <w:sz w:val="20"/>
          <w:szCs w:val="20"/>
        </w:rPr>
      </w:pPr>
    </w:p>
    <w:p w14:paraId="6AC62AFF" w14:textId="5F46E76C" w:rsidR="00DB56AA" w:rsidRPr="00D702DB" w:rsidRDefault="00DB56AA" w:rsidP="00AF51EF">
      <w:pPr>
        <w:spacing w:after="0" w:line="240" w:lineRule="auto"/>
        <w:ind w:left="720"/>
        <w:rPr>
          <w:rFonts w:ascii="Arial" w:hAnsi="Arial" w:cs="Arial"/>
          <w:color w:val="0432FF"/>
          <w:sz w:val="20"/>
          <w:szCs w:val="20"/>
        </w:rPr>
      </w:pPr>
      <w:r w:rsidRPr="00D702DB">
        <w:rPr>
          <w:rFonts w:ascii="Arial" w:hAnsi="Arial" w:cs="Arial"/>
          <w:color w:val="0432FF"/>
          <w:sz w:val="20"/>
          <w:szCs w:val="20"/>
        </w:rPr>
        <w:t>The study aims application right away, meanwhile we inspect diagnostics of usability first,</w:t>
      </w:r>
      <w:r w:rsidR="005A32C3" w:rsidRPr="00D702DB">
        <w:rPr>
          <w:rFonts w:ascii="Arial" w:hAnsi="Arial" w:cs="Arial"/>
          <w:color w:val="0432FF"/>
          <w:sz w:val="20"/>
          <w:szCs w:val="20"/>
        </w:rPr>
        <w:t xml:space="preserve"> then proceed to apply diagnostic o</w:t>
      </w:r>
      <w:r w:rsidR="00392CDF" w:rsidRPr="00D702DB">
        <w:rPr>
          <w:rFonts w:ascii="Arial" w:hAnsi="Arial" w:cs="Arial"/>
          <w:color w:val="0432FF"/>
          <w:sz w:val="20"/>
          <w:szCs w:val="20"/>
        </w:rPr>
        <w:t>bs</w:t>
      </w:r>
      <w:r w:rsidR="005A32C3" w:rsidRPr="00D702DB">
        <w:rPr>
          <w:rFonts w:ascii="Arial" w:hAnsi="Arial" w:cs="Arial"/>
          <w:color w:val="0432FF"/>
          <w:sz w:val="20"/>
          <w:szCs w:val="20"/>
        </w:rPr>
        <w:t>er</w:t>
      </w:r>
      <w:r w:rsidR="00392CDF" w:rsidRPr="00D702DB">
        <w:rPr>
          <w:rFonts w:ascii="Arial" w:hAnsi="Arial" w:cs="Arial"/>
          <w:color w:val="0432FF"/>
          <w:sz w:val="20"/>
          <w:szCs w:val="20"/>
        </w:rPr>
        <w:t>v</w:t>
      </w:r>
      <w:r w:rsidR="005A32C3" w:rsidRPr="00D702DB">
        <w:rPr>
          <w:rFonts w:ascii="Arial" w:hAnsi="Arial" w:cs="Arial"/>
          <w:color w:val="0432FF"/>
          <w:sz w:val="20"/>
          <w:szCs w:val="20"/>
        </w:rPr>
        <w:t>a</w:t>
      </w:r>
      <w:r w:rsidR="00392CDF" w:rsidRPr="00D702DB">
        <w:rPr>
          <w:rFonts w:ascii="Arial" w:hAnsi="Arial" w:cs="Arial"/>
          <w:color w:val="0432FF"/>
          <w:sz w:val="20"/>
          <w:szCs w:val="20"/>
        </w:rPr>
        <w:t>b</w:t>
      </w:r>
      <w:r w:rsidR="005A32C3" w:rsidRPr="00D702DB">
        <w:rPr>
          <w:rFonts w:ascii="Arial" w:hAnsi="Arial" w:cs="Arial"/>
          <w:color w:val="0432FF"/>
          <w:sz w:val="20"/>
          <w:szCs w:val="20"/>
        </w:rPr>
        <w:t xml:space="preserve">ility on disaster phases. Disaster modelling requires baseline comparison, but we confront the reliability of these phases to begin with. We note patterns of </w:t>
      </w:r>
      <w:r w:rsidR="00AB0823" w:rsidRPr="00D702DB">
        <w:rPr>
          <w:rFonts w:ascii="Arial" w:hAnsi="Arial" w:cs="Arial"/>
          <w:color w:val="0432FF"/>
          <w:sz w:val="20"/>
          <w:szCs w:val="20"/>
        </w:rPr>
        <w:t>alignment and</w:t>
      </w:r>
      <w:r w:rsidR="005A32C3" w:rsidRPr="00D702DB">
        <w:rPr>
          <w:rFonts w:ascii="Arial" w:hAnsi="Arial" w:cs="Arial"/>
          <w:color w:val="0432FF"/>
          <w:sz w:val="20"/>
          <w:szCs w:val="20"/>
        </w:rPr>
        <w:t xml:space="preserve"> explain the divergence. </w:t>
      </w:r>
    </w:p>
    <w:p w14:paraId="0001D422" w14:textId="77777777" w:rsidR="005A32C3" w:rsidRPr="00D702DB" w:rsidRDefault="005A32C3" w:rsidP="00AF51EF">
      <w:pPr>
        <w:spacing w:after="0" w:line="240" w:lineRule="auto"/>
        <w:ind w:left="720"/>
        <w:rPr>
          <w:rFonts w:ascii="Arial" w:hAnsi="Arial" w:cs="Arial"/>
          <w:color w:val="0432FF"/>
          <w:sz w:val="20"/>
          <w:szCs w:val="20"/>
        </w:rPr>
      </w:pPr>
    </w:p>
    <w:p w14:paraId="1863101A" w14:textId="56F7DE4D" w:rsidR="005A32C3" w:rsidRPr="00D702DB" w:rsidRDefault="005A32C3" w:rsidP="00AF51EF">
      <w:pPr>
        <w:spacing w:after="0" w:line="240" w:lineRule="auto"/>
        <w:ind w:left="720"/>
        <w:rPr>
          <w:rFonts w:ascii="Arial" w:hAnsi="Arial" w:cs="Arial"/>
          <w:color w:val="0432FF"/>
          <w:sz w:val="20"/>
          <w:szCs w:val="20"/>
        </w:rPr>
      </w:pPr>
      <w:r w:rsidRPr="00D702DB">
        <w:rPr>
          <w:rFonts w:ascii="Arial" w:hAnsi="Arial" w:cs="Arial"/>
          <w:color w:val="0432FF"/>
          <w:sz w:val="20"/>
          <w:szCs w:val="20"/>
        </w:rPr>
        <w:t>On the l</w:t>
      </w:r>
      <w:r w:rsidR="00194979" w:rsidRPr="00D702DB">
        <w:rPr>
          <w:rFonts w:ascii="Arial" w:hAnsi="Arial" w:cs="Arial"/>
          <w:color w:val="0432FF"/>
          <w:sz w:val="20"/>
          <w:szCs w:val="20"/>
        </w:rPr>
        <w:t xml:space="preserve">ens of equity and justice, </w:t>
      </w:r>
      <w:r w:rsidR="00160E01" w:rsidRPr="00D702DB">
        <w:rPr>
          <w:rFonts w:ascii="Arial" w:hAnsi="Arial" w:cs="Arial"/>
          <w:color w:val="0432FF"/>
          <w:sz w:val="20"/>
          <w:szCs w:val="20"/>
        </w:rPr>
        <w:t xml:space="preserve">here we adapt </w:t>
      </w:r>
      <w:proofErr w:type="spellStart"/>
      <w:r w:rsidR="00160E01" w:rsidRPr="00D702DB">
        <w:rPr>
          <w:rFonts w:ascii="Arial" w:hAnsi="Arial" w:cs="Arial"/>
          <w:color w:val="0432FF"/>
          <w:sz w:val="20"/>
          <w:szCs w:val="20"/>
        </w:rPr>
        <w:t>Ghafarian’s</w:t>
      </w:r>
      <w:proofErr w:type="spellEnd"/>
      <w:r w:rsidR="00160E01" w:rsidRPr="00D702DB">
        <w:rPr>
          <w:rFonts w:ascii="Arial" w:hAnsi="Arial" w:cs="Arial"/>
          <w:color w:val="0432FF"/>
          <w:sz w:val="20"/>
          <w:szCs w:val="20"/>
        </w:rPr>
        <w:t xml:space="preserve"> </w:t>
      </w:r>
      <w:r w:rsidR="00AB0823" w:rsidRPr="00D702DB">
        <w:rPr>
          <w:rFonts w:ascii="Arial" w:hAnsi="Arial" w:cs="Arial"/>
          <w:color w:val="0432FF"/>
          <w:sz w:val="20"/>
          <w:szCs w:val="20"/>
        </w:rPr>
        <w:t>classification</w:t>
      </w:r>
      <w:r w:rsidR="00160E01" w:rsidRPr="00D702DB">
        <w:rPr>
          <w:rFonts w:ascii="Arial" w:hAnsi="Arial" w:cs="Arial"/>
          <w:color w:val="0432FF"/>
          <w:sz w:val="20"/>
          <w:szCs w:val="20"/>
        </w:rPr>
        <w:t xml:space="preserve"> of NTL as a representation of functional recovery. It needs multi-source </w:t>
      </w:r>
      <w:r w:rsidR="00EB5D11" w:rsidRPr="00D702DB">
        <w:rPr>
          <w:rFonts w:ascii="Arial" w:hAnsi="Arial" w:cs="Arial"/>
          <w:color w:val="0432FF"/>
          <w:sz w:val="20"/>
          <w:szCs w:val="20"/>
        </w:rPr>
        <w:t>perspective to be able to make claims even about resilience</w:t>
      </w:r>
      <w:r w:rsidR="00AB0823" w:rsidRPr="00D702DB">
        <w:rPr>
          <w:rFonts w:ascii="Arial" w:hAnsi="Arial" w:cs="Arial"/>
          <w:color w:val="0432FF"/>
          <w:sz w:val="20"/>
          <w:szCs w:val="20"/>
        </w:rPr>
        <w:t>. Claims about what can (and cannot be claimed) by nighttime lights must be made explicit.</w:t>
      </w:r>
      <w:r w:rsidR="00EB5D11" w:rsidRPr="00D702DB">
        <w:rPr>
          <w:rFonts w:ascii="Arial" w:hAnsi="Arial" w:cs="Arial"/>
          <w:color w:val="0432FF"/>
          <w:sz w:val="20"/>
          <w:szCs w:val="20"/>
        </w:rPr>
        <w:t xml:space="preserve"> </w:t>
      </w:r>
    </w:p>
    <w:p w14:paraId="27938CA3" w14:textId="77777777" w:rsidR="002B0DD2" w:rsidRPr="00F67D62" w:rsidRDefault="002B0DD2" w:rsidP="00F67D62">
      <w:pPr>
        <w:spacing w:after="0" w:line="240" w:lineRule="auto"/>
        <w:rPr>
          <w:rFonts w:ascii="Arial" w:hAnsi="Arial" w:cs="Arial"/>
          <w:color w:val="000000"/>
        </w:rPr>
      </w:pPr>
    </w:p>
    <w:p w14:paraId="036275AA" w14:textId="3FB6CB51" w:rsidR="00AF51EF" w:rsidRPr="00363C76" w:rsidRDefault="00E2352B" w:rsidP="00363C76">
      <w:pPr>
        <w:pStyle w:val="NormalWeb"/>
        <w:numPr>
          <w:ilvl w:val="0"/>
          <w:numId w:val="27"/>
        </w:numPr>
        <w:spacing w:after="0"/>
        <w:rPr>
          <w:rFonts w:ascii="Arial" w:hAnsi="Arial" w:cs="Arial"/>
          <w:color w:val="242424"/>
          <w:sz w:val="20"/>
          <w:szCs w:val="20"/>
        </w:rPr>
      </w:pPr>
      <w:r>
        <w:rPr>
          <w:rFonts w:ascii="Arial" w:hAnsi="Arial" w:cs="Arial"/>
          <w:color w:val="242424"/>
          <w:sz w:val="20"/>
          <w:szCs w:val="20"/>
        </w:rPr>
        <w:t>Wang et al (2</w:t>
      </w:r>
      <w:r w:rsidR="00363C76">
        <w:rPr>
          <w:rFonts w:ascii="Arial" w:hAnsi="Arial" w:cs="Arial"/>
          <w:color w:val="242424"/>
          <w:sz w:val="20"/>
          <w:szCs w:val="20"/>
        </w:rPr>
        <w:t>02</w:t>
      </w:r>
      <w:proofErr w:type="gramStart"/>
      <w:r w:rsidR="00363C76">
        <w:rPr>
          <w:rFonts w:ascii="Arial" w:hAnsi="Arial" w:cs="Arial"/>
          <w:color w:val="242424"/>
          <w:sz w:val="20"/>
          <w:szCs w:val="20"/>
        </w:rPr>
        <w:t xml:space="preserve">)  </w:t>
      </w:r>
      <w:r w:rsidRPr="00E2352B">
        <w:rPr>
          <w:rFonts w:ascii="Arial" w:hAnsi="Arial" w:cs="Arial"/>
          <w:color w:val="242424"/>
          <w:sz w:val="20"/>
          <w:szCs w:val="20"/>
        </w:rPr>
        <w:t>Socioeconomic</w:t>
      </w:r>
      <w:proofErr w:type="gramEnd"/>
      <w:r w:rsidRPr="00E2352B">
        <w:rPr>
          <w:rFonts w:ascii="Arial" w:hAnsi="Arial" w:cs="Arial"/>
          <w:color w:val="242424"/>
          <w:sz w:val="20"/>
          <w:szCs w:val="20"/>
        </w:rPr>
        <w:t xml:space="preserve"> Drivers of Post-Rainstorm Community Resilience: A</w:t>
      </w:r>
      <w:r>
        <w:rPr>
          <w:rFonts w:ascii="Arial" w:hAnsi="Arial" w:cs="Arial"/>
          <w:color w:val="242424"/>
          <w:sz w:val="20"/>
          <w:szCs w:val="20"/>
        </w:rPr>
        <w:t xml:space="preserve"> </w:t>
      </w:r>
      <w:r w:rsidRPr="00E2352B">
        <w:rPr>
          <w:rFonts w:ascii="Arial" w:hAnsi="Arial" w:cs="Arial"/>
          <w:color w:val="242424"/>
          <w:sz w:val="20"/>
          <w:szCs w:val="20"/>
        </w:rPr>
        <w:t>comparative analysis of two cases in</w:t>
      </w:r>
      <w:r>
        <w:rPr>
          <w:rFonts w:ascii="Arial" w:hAnsi="Arial" w:cs="Arial"/>
          <w:color w:val="242424"/>
          <w:sz w:val="20"/>
          <w:szCs w:val="20"/>
        </w:rPr>
        <w:t xml:space="preserve"> </w:t>
      </w:r>
      <w:r w:rsidRPr="00E2352B">
        <w:rPr>
          <w:rFonts w:ascii="Arial" w:hAnsi="Arial" w:cs="Arial"/>
          <w:color w:val="242424"/>
          <w:sz w:val="20"/>
          <w:szCs w:val="20"/>
        </w:rPr>
        <w:t>North Chin</w:t>
      </w:r>
      <w:r>
        <w:rPr>
          <w:rFonts w:ascii="Arial" w:hAnsi="Arial" w:cs="Arial"/>
          <w:color w:val="242424"/>
          <w:sz w:val="20"/>
          <w:szCs w:val="20"/>
        </w:rPr>
        <w:t xml:space="preserve">a </w:t>
      </w:r>
    </w:p>
    <w:p w14:paraId="7348AD68" w14:textId="6CEB2EE7" w:rsidR="00AF51EF" w:rsidRPr="00231BEE" w:rsidRDefault="00AF51EF" w:rsidP="00363C76">
      <w:pPr>
        <w:pStyle w:val="NormalWeb"/>
        <w:spacing w:before="0" w:beforeAutospacing="0" w:after="0" w:afterAutospacing="0"/>
        <w:ind w:left="1440"/>
        <w:rPr>
          <w:rFonts w:ascii="Arial" w:hAnsi="Arial" w:cs="Arial"/>
          <w:b/>
          <w:bCs/>
          <w:color w:val="242424"/>
          <w:sz w:val="20"/>
          <w:szCs w:val="20"/>
        </w:rPr>
      </w:pPr>
      <w:r w:rsidRPr="00363C76">
        <w:rPr>
          <w:rFonts w:ascii="Arial" w:hAnsi="Arial" w:cs="Arial"/>
          <w:color w:val="242424"/>
          <w:sz w:val="20"/>
          <w:szCs w:val="20"/>
          <w:bdr w:val="none" w:sz="0" w:space="0" w:color="auto" w:frame="1"/>
        </w:rPr>
        <w:t>It focuses on China and rainstorms, and while the approach around recovery type/speed clustering and</w:t>
      </w:r>
      <w:r w:rsidRPr="00363C76">
        <w:rPr>
          <w:rStyle w:val="apple-converted-space"/>
          <w:rFonts w:ascii="Arial" w:hAnsi="Arial" w:cs="Arial"/>
          <w:color w:val="242424"/>
          <w:sz w:val="20"/>
          <w:szCs w:val="20"/>
          <w:bdr w:val="none" w:sz="0" w:space="0" w:color="auto" w:frame="1"/>
        </w:rPr>
        <w:t> </w:t>
      </w:r>
      <w:r w:rsidRPr="00363C76">
        <w:rPr>
          <w:rFonts w:ascii="Arial" w:hAnsi="Arial" w:cs="Arial"/>
          <w:color w:val="242424"/>
          <w:sz w:val="20"/>
          <w:szCs w:val="20"/>
          <w:bdr w:val="none" w:sz="0" w:space="0" w:color="auto" w:frame="1"/>
        </w:rPr>
        <w:t>multinomial logistic regression</w:t>
      </w:r>
      <w:r w:rsidRPr="00363C76">
        <w:rPr>
          <w:rStyle w:val="apple-converted-space"/>
          <w:rFonts w:ascii="Arial" w:hAnsi="Arial" w:cs="Arial"/>
          <w:color w:val="242424"/>
          <w:sz w:val="20"/>
          <w:szCs w:val="20"/>
          <w:bdr w:val="none" w:sz="0" w:space="0" w:color="auto" w:frame="1"/>
        </w:rPr>
        <w:t> </w:t>
      </w:r>
      <w:r w:rsidRPr="00363C76">
        <w:rPr>
          <w:rFonts w:ascii="Arial" w:hAnsi="Arial" w:cs="Arial"/>
          <w:color w:val="242424"/>
          <w:sz w:val="20"/>
          <w:szCs w:val="20"/>
          <w:bdr w:val="none" w:sz="0" w:space="0" w:color="auto" w:frame="1"/>
        </w:rPr>
        <w:t xml:space="preserve">is quite well done, also here the </w:t>
      </w:r>
      <w:r w:rsidRPr="00231BEE">
        <w:rPr>
          <w:rFonts w:ascii="Arial" w:hAnsi="Arial" w:cs="Arial"/>
          <w:b/>
          <w:bCs/>
          <w:color w:val="242424"/>
          <w:sz w:val="20"/>
          <w:szCs w:val="20"/>
          <w:bdr w:val="none" w:sz="0" w:space="0" w:color="auto" w:frame="1"/>
        </w:rPr>
        <w:t>assumption is perfect linearity</w:t>
      </w:r>
      <w:r w:rsidRPr="00363C76">
        <w:rPr>
          <w:rFonts w:ascii="Arial" w:hAnsi="Arial" w:cs="Arial"/>
          <w:color w:val="242424"/>
          <w:sz w:val="20"/>
          <w:szCs w:val="20"/>
          <w:bdr w:val="none" w:sz="0" w:space="0" w:color="auto" w:frame="1"/>
        </w:rPr>
        <w:t xml:space="preserve">. For disaster events in China where recovery (or at least electricity restoration) is fast that may well hold true. Again, looking at events like Haiyan or other disasters that strongly change the socio-economic fabric during a recovery period of multiple years we should be trying to understand </w:t>
      </w:r>
      <w:r w:rsidRPr="00231BEE">
        <w:rPr>
          <w:rFonts w:ascii="Arial" w:hAnsi="Arial" w:cs="Arial"/>
          <w:b/>
          <w:bCs/>
          <w:color w:val="242424"/>
          <w:sz w:val="20"/>
          <w:szCs w:val="20"/>
          <w:bdr w:val="none" w:sz="0" w:space="0" w:color="auto" w:frame="1"/>
        </w:rPr>
        <w:t>how the actual underlying light emission changes</w:t>
      </w:r>
      <w:r w:rsidRPr="00363C76">
        <w:rPr>
          <w:rFonts w:ascii="Arial" w:hAnsi="Arial" w:cs="Arial"/>
          <w:color w:val="242424"/>
          <w:sz w:val="20"/>
          <w:szCs w:val="20"/>
          <w:bdr w:val="none" w:sz="0" w:space="0" w:color="auto" w:frame="1"/>
        </w:rPr>
        <w:t xml:space="preserve">, and why – to me </w:t>
      </w:r>
      <w:r w:rsidRPr="00231BEE">
        <w:rPr>
          <w:rFonts w:ascii="Arial" w:hAnsi="Arial" w:cs="Arial"/>
          <w:b/>
          <w:bCs/>
          <w:color w:val="242424"/>
          <w:sz w:val="20"/>
          <w:szCs w:val="20"/>
          <w:bdr w:val="none" w:sz="0" w:space="0" w:color="auto" w:frame="1"/>
        </w:rPr>
        <w:t>it’s the best research opening.</w:t>
      </w:r>
    </w:p>
    <w:p w14:paraId="001B42FA" w14:textId="77777777" w:rsidR="00AF51EF" w:rsidRDefault="00AF51EF" w:rsidP="00317F5C">
      <w:pPr>
        <w:spacing w:after="0" w:line="240" w:lineRule="auto"/>
        <w:ind w:left="720"/>
        <w:rPr>
          <w:color w:val="000000"/>
        </w:rPr>
      </w:pPr>
    </w:p>
    <w:p w14:paraId="28B66E23" w14:textId="45BCCACD" w:rsidR="00231BEE" w:rsidRPr="00D702DB" w:rsidRDefault="000C5285" w:rsidP="00317F5C">
      <w:pPr>
        <w:spacing w:after="0" w:line="240" w:lineRule="auto"/>
        <w:ind w:left="720"/>
        <w:rPr>
          <w:rFonts w:ascii="Arial" w:hAnsi="Arial" w:cs="Arial"/>
          <w:color w:val="0432FF"/>
          <w:sz w:val="20"/>
          <w:szCs w:val="20"/>
        </w:rPr>
      </w:pPr>
      <w:r w:rsidRPr="00D702DB">
        <w:rPr>
          <w:rFonts w:ascii="Arial" w:hAnsi="Arial" w:cs="Arial"/>
          <w:color w:val="0432FF"/>
          <w:sz w:val="20"/>
          <w:szCs w:val="20"/>
        </w:rPr>
        <w:t>Not assuming linearity and d</w:t>
      </w:r>
      <w:r w:rsidR="00231BEE" w:rsidRPr="00D702DB">
        <w:rPr>
          <w:rFonts w:ascii="Arial" w:hAnsi="Arial" w:cs="Arial"/>
          <w:color w:val="0432FF"/>
          <w:sz w:val="20"/>
          <w:szCs w:val="20"/>
        </w:rPr>
        <w:t>isaggregating the baseline</w:t>
      </w:r>
      <w:r w:rsidRPr="00D702DB">
        <w:rPr>
          <w:rFonts w:ascii="Arial" w:hAnsi="Arial" w:cs="Arial"/>
          <w:color w:val="0432FF"/>
          <w:sz w:val="20"/>
          <w:szCs w:val="20"/>
        </w:rPr>
        <w:t xml:space="preserve"> is a promising</w:t>
      </w:r>
      <w:r w:rsidR="001A4E5D" w:rsidRPr="00D702DB">
        <w:rPr>
          <w:rFonts w:ascii="Arial" w:hAnsi="Arial" w:cs="Arial"/>
          <w:color w:val="0432FF"/>
          <w:sz w:val="20"/>
          <w:szCs w:val="20"/>
        </w:rPr>
        <w:t xml:space="preserve"> aspect and research indeed, multiple studies have tried disaggregating NTL signal into the trend/seasonality and attribute it to known </w:t>
      </w:r>
      <w:r w:rsidR="00682D3F" w:rsidRPr="00D702DB">
        <w:rPr>
          <w:rFonts w:ascii="Arial" w:hAnsi="Arial" w:cs="Arial"/>
          <w:color w:val="0432FF"/>
          <w:sz w:val="20"/>
          <w:szCs w:val="20"/>
        </w:rPr>
        <w:t>phenomena (NTL on taal)</w:t>
      </w:r>
      <w:r w:rsidR="001A4E5D" w:rsidRPr="00D702DB">
        <w:rPr>
          <w:rFonts w:ascii="Arial" w:hAnsi="Arial" w:cs="Arial"/>
          <w:color w:val="0432FF"/>
          <w:sz w:val="20"/>
          <w:szCs w:val="20"/>
        </w:rPr>
        <w:t xml:space="preserve">. There are also ML based technics that learns </w:t>
      </w:r>
      <w:r w:rsidR="001A4E5D" w:rsidRPr="00D702DB">
        <w:rPr>
          <w:rFonts w:ascii="Arial" w:hAnsi="Arial" w:cs="Arial"/>
          <w:color w:val="0432FF"/>
          <w:sz w:val="20"/>
          <w:szCs w:val="20"/>
        </w:rPr>
        <w:lastRenderedPageBreak/>
        <w:t>the city-</w:t>
      </w:r>
      <w:r w:rsidR="00682D3F" w:rsidRPr="00D702DB">
        <w:rPr>
          <w:rFonts w:ascii="Arial" w:hAnsi="Arial" w:cs="Arial"/>
          <w:color w:val="0432FF"/>
          <w:sz w:val="20"/>
          <w:szCs w:val="20"/>
        </w:rPr>
        <w:t>specific signatures (</w:t>
      </w:r>
      <w:proofErr w:type="spellStart"/>
      <w:r w:rsidR="00682D3F" w:rsidRPr="00D702DB">
        <w:rPr>
          <w:rFonts w:ascii="Arial" w:hAnsi="Arial" w:cs="Arial"/>
          <w:color w:val="0432FF"/>
          <w:sz w:val="20"/>
          <w:szCs w:val="20"/>
        </w:rPr>
        <w:t>chakborty</w:t>
      </w:r>
      <w:proofErr w:type="spellEnd"/>
      <w:r w:rsidR="00682D3F" w:rsidRPr="00D702DB">
        <w:rPr>
          <w:rFonts w:ascii="Arial" w:hAnsi="Arial" w:cs="Arial"/>
          <w:color w:val="0432FF"/>
          <w:sz w:val="20"/>
          <w:szCs w:val="20"/>
        </w:rPr>
        <w:t xml:space="preserve"> paper), but they rely on gap-filled information to learn </w:t>
      </w:r>
      <w:proofErr w:type="gramStart"/>
      <w:r w:rsidR="00682D3F" w:rsidRPr="00D702DB">
        <w:rPr>
          <w:rFonts w:ascii="Arial" w:hAnsi="Arial" w:cs="Arial"/>
          <w:color w:val="0432FF"/>
          <w:sz w:val="20"/>
          <w:szCs w:val="20"/>
        </w:rPr>
        <w:t>these baseline behaviour</w:t>
      </w:r>
      <w:proofErr w:type="gramEnd"/>
      <w:r w:rsidR="00682D3F" w:rsidRPr="00D702DB">
        <w:rPr>
          <w:rFonts w:ascii="Arial" w:hAnsi="Arial" w:cs="Arial"/>
          <w:color w:val="0432FF"/>
          <w:sz w:val="20"/>
          <w:szCs w:val="20"/>
        </w:rPr>
        <w:t>. This means that this direction requires filling the gaps or making the data more complete</w:t>
      </w:r>
      <w:r w:rsidR="00F711D4" w:rsidRPr="00D702DB">
        <w:rPr>
          <w:rFonts w:ascii="Arial" w:hAnsi="Arial" w:cs="Arial"/>
          <w:color w:val="0432FF"/>
          <w:sz w:val="20"/>
          <w:szCs w:val="20"/>
        </w:rPr>
        <w:t xml:space="preserve">, which is a paradox because in the context of short-term disaster impact assessment, we don’t want artificial data gaps to represent recovery. But this might be useful when looking at the </w:t>
      </w:r>
      <w:proofErr w:type="gramStart"/>
      <w:r w:rsidR="00F711D4" w:rsidRPr="00D702DB">
        <w:rPr>
          <w:rFonts w:ascii="Arial" w:hAnsi="Arial" w:cs="Arial"/>
          <w:color w:val="0432FF"/>
          <w:sz w:val="20"/>
          <w:szCs w:val="20"/>
        </w:rPr>
        <w:t>long term</w:t>
      </w:r>
      <w:proofErr w:type="gramEnd"/>
      <w:r w:rsidR="00F711D4" w:rsidRPr="00D702DB">
        <w:rPr>
          <w:rFonts w:ascii="Arial" w:hAnsi="Arial" w:cs="Arial"/>
          <w:color w:val="0432FF"/>
          <w:sz w:val="20"/>
          <w:szCs w:val="20"/>
        </w:rPr>
        <w:t xml:space="preserve"> recovery</w:t>
      </w:r>
      <w:r w:rsidR="00D702DB">
        <w:rPr>
          <w:rFonts w:ascii="Arial" w:hAnsi="Arial" w:cs="Arial"/>
          <w:color w:val="0432FF"/>
          <w:sz w:val="20"/>
          <w:szCs w:val="20"/>
        </w:rPr>
        <w:t xml:space="preserve"> patterns and extracting </w:t>
      </w:r>
      <w:r w:rsidR="008F2D4E">
        <w:rPr>
          <w:rFonts w:ascii="Arial" w:hAnsi="Arial" w:cs="Arial"/>
          <w:color w:val="0432FF"/>
          <w:sz w:val="20"/>
          <w:szCs w:val="20"/>
        </w:rPr>
        <w:t xml:space="preserve">signal of disaster resiliency from the broader </w:t>
      </w:r>
      <w:proofErr w:type="spellStart"/>
      <w:r w:rsidR="008F2D4E">
        <w:rPr>
          <w:rFonts w:ascii="Arial" w:hAnsi="Arial" w:cs="Arial"/>
          <w:color w:val="0432FF"/>
          <w:sz w:val="20"/>
          <w:szCs w:val="20"/>
        </w:rPr>
        <w:t>ubranization</w:t>
      </w:r>
      <w:proofErr w:type="spellEnd"/>
      <w:r w:rsidR="008F2D4E">
        <w:rPr>
          <w:rFonts w:ascii="Arial" w:hAnsi="Arial" w:cs="Arial"/>
          <w:color w:val="0432FF"/>
          <w:sz w:val="20"/>
          <w:szCs w:val="20"/>
        </w:rPr>
        <w:t>/leapfrogging effects.</w:t>
      </w:r>
    </w:p>
    <w:p w14:paraId="5F35E5BC" w14:textId="77777777" w:rsidR="00AF51EF" w:rsidRPr="00317F5C" w:rsidRDefault="00AF51EF" w:rsidP="00317F5C">
      <w:pPr>
        <w:spacing w:after="0" w:line="240" w:lineRule="auto"/>
        <w:ind w:left="720"/>
        <w:rPr>
          <w:rFonts w:ascii="Arial" w:eastAsia="Times New Roman" w:hAnsi="Arial" w:cs="Arial"/>
          <w:color w:val="000000" w:themeColor="text1"/>
          <w:kern w:val="0"/>
          <w:sz w:val="20"/>
          <w:szCs w:val="20"/>
          <w:highlight w:val="yellow"/>
          <w:lang w:eastAsia="en-GB"/>
          <w14:ligatures w14:val="none"/>
        </w:rPr>
      </w:pPr>
    </w:p>
    <w:p w14:paraId="02CC925B" w14:textId="77777777" w:rsidR="00EA222E" w:rsidRPr="003B65A2" w:rsidRDefault="00EA222E" w:rsidP="00A40AAE">
      <w:pPr>
        <w:pStyle w:val="Heading1"/>
        <w:spacing w:before="0" w:after="0"/>
        <w:rPr>
          <w:rFonts w:ascii="Arial" w:hAnsi="Arial" w:cs="Arial"/>
          <w:color w:val="000000" w:themeColor="text1"/>
          <w:sz w:val="20"/>
          <w:szCs w:val="20"/>
          <w:lang w:val="en-US"/>
        </w:rPr>
      </w:pPr>
    </w:p>
    <w:p w14:paraId="1FF070FC" w14:textId="79D2915F" w:rsidR="00A40AAE" w:rsidRPr="003B65A2" w:rsidRDefault="00A40AAE">
      <w:pPr>
        <w:pStyle w:val="Heading1"/>
        <w:numPr>
          <w:ilvl w:val="0"/>
          <w:numId w:val="15"/>
        </w:numPr>
        <w:spacing w:before="0" w:after="0" w:line="276" w:lineRule="auto"/>
        <w:rPr>
          <w:rFonts w:ascii="Arial" w:hAnsi="Arial" w:cs="Arial"/>
          <w:color w:val="000000" w:themeColor="text1"/>
          <w:sz w:val="20"/>
          <w:szCs w:val="20"/>
          <w:lang w:val="en-US"/>
        </w:rPr>
      </w:pPr>
      <w:r w:rsidRPr="003B65A2">
        <w:rPr>
          <w:rFonts w:ascii="Arial" w:hAnsi="Arial" w:cs="Arial"/>
          <w:color w:val="000000" w:themeColor="text1"/>
          <w:sz w:val="20"/>
          <w:szCs w:val="20"/>
          <w:lang w:val="en-US"/>
        </w:rPr>
        <w:t xml:space="preserve">Gibson, J., Jiang, Y., Zhang, X., &amp; Boe-Gibson, G. (2024). </w:t>
      </w:r>
      <w:r w:rsidRPr="003B65A2">
        <w:rPr>
          <w:rFonts w:ascii="Arial" w:hAnsi="Arial" w:cs="Arial"/>
          <w:b/>
          <w:bCs/>
          <w:color w:val="000000" w:themeColor="text1"/>
          <w:sz w:val="20"/>
          <w:szCs w:val="20"/>
          <w:lang w:val="en-US"/>
        </w:rPr>
        <w:t>Are Disaster Impact Estimates Distorted by Errors in Popular Night-Time Lights Data</w:t>
      </w:r>
      <w:r w:rsidRPr="003B65A2">
        <w:rPr>
          <w:rFonts w:ascii="Arial" w:hAnsi="Arial" w:cs="Arial"/>
          <w:color w:val="000000" w:themeColor="text1"/>
          <w:sz w:val="20"/>
          <w:szCs w:val="20"/>
          <w:lang w:val="en-US"/>
        </w:rPr>
        <w:t xml:space="preserve">? </w:t>
      </w:r>
      <w:r w:rsidRPr="003B65A2">
        <w:rPr>
          <w:rFonts w:ascii="Arial" w:hAnsi="Arial" w:cs="Arial"/>
          <w:i/>
          <w:iCs/>
          <w:color w:val="000000" w:themeColor="text1"/>
          <w:sz w:val="20"/>
          <w:szCs w:val="20"/>
          <w:lang w:val="en-US"/>
        </w:rPr>
        <w:t>Economics of Disasters and Climate Change, 8</w:t>
      </w:r>
      <w:r w:rsidRPr="003B65A2">
        <w:rPr>
          <w:rFonts w:ascii="Arial" w:hAnsi="Arial" w:cs="Arial"/>
          <w:color w:val="000000" w:themeColor="text1"/>
          <w:sz w:val="20"/>
          <w:szCs w:val="20"/>
          <w:lang w:val="en-US"/>
        </w:rPr>
        <w:t>, 391–416</w:t>
      </w:r>
      <w:r w:rsidR="005F7C7E" w:rsidRPr="003B65A2">
        <w:rPr>
          <w:rFonts w:ascii="Arial" w:hAnsi="Arial" w:cs="Arial"/>
          <w:color w:val="000000" w:themeColor="text1"/>
          <w:sz w:val="20"/>
          <w:szCs w:val="20"/>
          <w:lang w:val="en-US"/>
        </w:rPr>
        <w:t xml:space="preserve">, </w:t>
      </w:r>
      <w:hyperlink r:id="rId8" w:history="1">
        <w:r w:rsidR="005F7C7E" w:rsidRPr="003B65A2">
          <w:rPr>
            <w:rStyle w:val="Hyperlink"/>
            <w:rFonts w:ascii="Arial" w:hAnsi="Arial" w:cs="Arial"/>
            <w:sz w:val="20"/>
            <w:szCs w:val="20"/>
            <w:lang w:val="en-US"/>
          </w:rPr>
          <w:t>https://doi.org/10.1007/s41885-024-00152-6</w:t>
        </w:r>
      </w:hyperlink>
      <w:r w:rsidR="005F7C7E" w:rsidRPr="003B65A2">
        <w:rPr>
          <w:rFonts w:ascii="Arial" w:hAnsi="Arial" w:cs="Arial"/>
          <w:color w:val="000000" w:themeColor="text1"/>
          <w:sz w:val="20"/>
          <w:szCs w:val="20"/>
          <w:lang w:val="en-US"/>
        </w:rPr>
        <w:t xml:space="preserve"> </w:t>
      </w:r>
      <w:r w:rsidR="00EA222E" w:rsidRPr="003B65A2">
        <w:rPr>
          <w:rFonts w:ascii="Arial" w:hAnsi="Arial" w:cs="Arial"/>
          <w:sz w:val="20"/>
          <w:szCs w:val="20"/>
          <w:lang w:val="en-US"/>
        </w:rPr>
        <w:br/>
      </w:r>
    </w:p>
    <w:p w14:paraId="27FC9317"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1. Purpose and Context</w:t>
      </w:r>
    </w:p>
    <w:p w14:paraId="1FA393A7" w14:textId="484C6B04" w:rsidR="00A40AAE" w:rsidRPr="003B65A2" w:rsidRDefault="00A40AAE">
      <w:pPr>
        <w:pStyle w:val="ListParagraph"/>
        <w:numPr>
          <w:ilvl w:val="0"/>
          <w:numId w:val="4"/>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document investigates whether disaster impact estimates are distorted by errors in popular night-time lights data, particularly the older DMSP data, compared to the newer VIIRS data.</w:t>
      </w:r>
    </w:p>
    <w:p w14:paraId="61642D48" w14:textId="15F07003" w:rsidR="00A40AAE" w:rsidRPr="003B65A2" w:rsidRDefault="00A40AAE">
      <w:pPr>
        <w:pStyle w:val="ListParagraph"/>
        <w:numPr>
          <w:ilvl w:val="0"/>
          <w:numId w:val="4"/>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case study focuses on typhoon damages in the Philippines from 2012–2019.</w:t>
      </w:r>
    </w:p>
    <w:p w14:paraId="5B2A0529"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2. Main Findings</w:t>
      </w:r>
    </w:p>
    <w:p w14:paraId="7614E636" w14:textId="30212743" w:rsidR="00A40AAE" w:rsidRPr="003B65A2" w:rsidRDefault="00A40AAE">
      <w:pPr>
        <w:pStyle w:val="ListParagraph"/>
        <w:numPr>
          <w:ilvl w:val="0"/>
          <w:numId w:val="5"/>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 xml:space="preserve">DMSP Data Overstates Impacts: Using DMSP data, negative impacts on economic activity from expected typhoon damages at the municipality level appear over </w:t>
      </w:r>
      <w:r w:rsidRPr="00120304">
        <w:rPr>
          <w:rFonts w:ascii="Arial" w:hAnsi="Arial" w:cs="Arial"/>
          <w:b/>
          <w:bCs/>
          <w:kern w:val="0"/>
          <w:sz w:val="20"/>
          <w:szCs w:val="20"/>
          <w:highlight w:val="yellow"/>
          <w:lang w:val="en-US"/>
        </w:rPr>
        <w:t>50% larger than when using VIIRS data.</w:t>
      </w:r>
    </w:p>
    <w:p w14:paraId="1AD08A2C" w14:textId="05FEA1CC" w:rsidR="00A40AAE" w:rsidRPr="003B65A2" w:rsidRDefault="00A40AAE">
      <w:pPr>
        <w:pStyle w:val="ListParagraph"/>
        <w:numPr>
          <w:ilvl w:val="0"/>
          <w:numId w:val="5"/>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Spatial Autocorrelation Distortion: DMSP data show greater spatial autocorrelation (i.e., adjacent areas appear more similar in luminosity), which can artificially spread the apparent spatial impacts of disasters.</w:t>
      </w:r>
    </w:p>
    <w:p w14:paraId="4D518AAF" w14:textId="20B7E580" w:rsidR="00A40AAE" w:rsidRPr="003B65A2" w:rsidRDefault="00A40AAE">
      <w:pPr>
        <w:pStyle w:val="ListParagraph"/>
        <w:numPr>
          <w:ilvl w:val="0"/>
          <w:numId w:val="5"/>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Harmonized Data Issues: Harmonized datasets that adjust VIIRS images to be DMSP-like inherit these spatial distortions, so caution is needed when using such data for disaster assessments.</w:t>
      </w:r>
    </w:p>
    <w:p w14:paraId="4C42271A"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3. Technical Differences Between DMSP and VIIRS</w:t>
      </w:r>
    </w:p>
    <w:p w14:paraId="20E2EDE2" w14:textId="5BA39A6E" w:rsidR="00A40AAE" w:rsidRPr="003B65A2" w:rsidRDefault="00A40AAE">
      <w:pPr>
        <w:pStyle w:val="ListParagraph"/>
        <w:numPr>
          <w:ilvl w:val="0"/>
          <w:numId w:val="6"/>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Resolution: DMSP has a much coarser spatial resolution (25 km² at nadir) compared to VIIRS (0.55 km²), leading to blurred and top-coded images in DMSP.</w:t>
      </w:r>
    </w:p>
    <w:p w14:paraId="3CCCBDFC" w14:textId="0B99CDC1" w:rsidR="00A40AAE" w:rsidRPr="003B65A2" w:rsidRDefault="00A40AAE">
      <w:pPr>
        <w:pStyle w:val="ListParagraph"/>
        <w:numPr>
          <w:ilvl w:val="0"/>
          <w:numId w:val="6"/>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Quantization: DMSP uses a 6-bit scale (0–63), with issues of bottom- and top-coding, while VIIRS uses a 14-bit scale (up to 16,384 values) with no saturation problems.</w:t>
      </w:r>
    </w:p>
    <w:p w14:paraId="15A13FF2" w14:textId="75463835" w:rsidR="00A40AAE" w:rsidRPr="003B65A2" w:rsidRDefault="00A40AAE">
      <w:pPr>
        <w:pStyle w:val="ListParagraph"/>
        <w:numPr>
          <w:ilvl w:val="0"/>
          <w:numId w:val="6"/>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 xml:space="preserve">Observation Time: </w:t>
      </w:r>
      <w:r w:rsidRPr="003341E3">
        <w:rPr>
          <w:rFonts w:ascii="Arial" w:hAnsi="Arial" w:cs="Arial"/>
          <w:b/>
          <w:bCs/>
          <w:kern w:val="0"/>
          <w:sz w:val="20"/>
          <w:szCs w:val="20"/>
          <w:highlight w:val="yellow"/>
          <w:lang w:val="en-US"/>
        </w:rPr>
        <w:t>DMSP and VIIRS observe at different times of night,</w:t>
      </w:r>
      <w:r w:rsidRPr="003B65A2">
        <w:rPr>
          <w:rFonts w:ascii="Arial" w:hAnsi="Arial" w:cs="Arial"/>
          <w:kern w:val="0"/>
          <w:sz w:val="20"/>
          <w:szCs w:val="20"/>
          <w:lang w:val="en-US"/>
        </w:rPr>
        <w:t xml:space="preserve"> which can affect the type of economic activity captured.</w:t>
      </w:r>
    </w:p>
    <w:p w14:paraId="661EE0C2"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4. Methodological Insights</w:t>
      </w:r>
    </w:p>
    <w:p w14:paraId="49A15502" w14:textId="4034E0A5" w:rsidR="00A40AAE" w:rsidRPr="003B65A2" w:rsidRDefault="00A40AAE">
      <w:pPr>
        <w:pStyle w:val="ListParagraph"/>
        <w:numPr>
          <w:ilvl w:val="0"/>
          <w:numId w:val="7"/>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study uses spatial econometric models to account for spillovers and spatial autocorrelation, which are important for disasters like typhoons that have spatially correlated impacts.</w:t>
      </w:r>
    </w:p>
    <w:p w14:paraId="4D470218" w14:textId="7C670ED0" w:rsidR="00A40AAE" w:rsidRPr="003B65A2" w:rsidRDefault="00A40AAE">
      <w:pPr>
        <w:pStyle w:val="ListParagraph"/>
        <w:numPr>
          <w:ilvl w:val="0"/>
          <w:numId w:val="7"/>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 xml:space="preserve">Results show that </w:t>
      </w:r>
      <w:r w:rsidRPr="0065542D">
        <w:rPr>
          <w:rFonts w:ascii="Arial" w:hAnsi="Arial" w:cs="Arial"/>
          <w:kern w:val="0"/>
          <w:sz w:val="20"/>
          <w:szCs w:val="20"/>
          <w:highlight w:val="yellow"/>
          <w:lang w:val="en-US"/>
        </w:rPr>
        <w:t>models using DMSP data consistently yield larger negative impacts than those using VIIRS data</w:t>
      </w:r>
      <w:r w:rsidRPr="003B65A2">
        <w:rPr>
          <w:rFonts w:ascii="Arial" w:hAnsi="Arial" w:cs="Arial"/>
          <w:kern w:val="0"/>
          <w:sz w:val="20"/>
          <w:szCs w:val="20"/>
          <w:lang w:val="en-US"/>
        </w:rPr>
        <w:t>, across various model specifications.</w:t>
      </w:r>
    </w:p>
    <w:p w14:paraId="382840CA"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5. Practical Implications</w:t>
      </w:r>
    </w:p>
    <w:p w14:paraId="7B4A58B3" w14:textId="58A4EE2F" w:rsidR="00A40AAE" w:rsidRPr="003B65A2" w:rsidRDefault="00A40AAE">
      <w:pPr>
        <w:pStyle w:val="ListParagraph"/>
        <w:numPr>
          <w:ilvl w:val="0"/>
          <w:numId w:val="8"/>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 xml:space="preserve">For Researchers: Continued use of DMSP or harmonized DMSP-VIIRS data can lead to overestimation of disaster impacts, especially in spatial models. Researchers should </w:t>
      </w:r>
      <w:r w:rsidRPr="007F790A">
        <w:rPr>
          <w:rFonts w:ascii="Arial" w:hAnsi="Arial" w:cs="Arial"/>
          <w:kern w:val="0"/>
          <w:sz w:val="20"/>
          <w:szCs w:val="20"/>
          <w:highlight w:val="yellow"/>
          <w:lang w:val="en-US"/>
        </w:rPr>
        <w:t>prefer VIIRS data for post-2012 analyses and be cautious with harmonized datasets</w:t>
      </w:r>
      <w:r w:rsidRPr="003B65A2">
        <w:rPr>
          <w:rFonts w:ascii="Arial" w:hAnsi="Arial" w:cs="Arial"/>
          <w:kern w:val="0"/>
          <w:sz w:val="20"/>
          <w:szCs w:val="20"/>
          <w:lang w:val="en-US"/>
        </w:rPr>
        <w:t>.</w:t>
      </w:r>
    </w:p>
    <w:p w14:paraId="6E39CAA1" w14:textId="407B5BAE" w:rsidR="00A40AAE" w:rsidRPr="003B65A2" w:rsidRDefault="00A40AAE">
      <w:pPr>
        <w:pStyle w:val="ListParagraph"/>
        <w:numPr>
          <w:ilvl w:val="0"/>
          <w:numId w:val="8"/>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For Policy and Practice: Overstated impacts may misinform disaster response and recovery planning, especially in rural or less-illuminated areas where DMSP is less sensitive.</w:t>
      </w:r>
    </w:p>
    <w:p w14:paraId="3A1F6937"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6. Recommendations and Future Directions</w:t>
      </w:r>
    </w:p>
    <w:p w14:paraId="62143E04" w14:textId="44533157" w:rsidR="00A40AAE" w:rsidRPr="003B65A2" w:rsidRDefault="00A40AAE">
      <w:pPr>
        <w:pStyle w:val="ListParagraph"/>
        <w:numPr>
          <w:ilvl w:val="0"/>
          <w:numId w:val="9"/>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Researchers should use VIIRS data where possible and critically assess the limitations of harmonized or DMSP data.</w:t>
      </w:r>
    </w:p>
    <w:p w14:paraId="3D9C13E4" w14:textId="2C5CB11B" w:rsidR="00A40AAE" w:rsidRPr="003B65A2" w:rsidRDefault="00A40AAE">
      <w:pPr>
        <w:pStyle w:val="ListParagraph"/>
        <w:numPr>
          <w:ilvl w:val="0"/>
          <w:numId w:val="9"/>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Further studies should compare NTL data with ground-truth economic data or insurance claims to validate impact estimates.</w:t>
      </w:r>
    </w:p>
    <w:p w14:paraId="27B3F602" w14:textId="02F8EA09" w:rsidR="00A40AAE" w:rsidRPr="003B65A2" w:rsidRDefault="00A40AAE">
      <w:pPr>
        <w:pStyle w:val="ListParagraph"/>
        <w:numPr>
          <w:ilvl w:val="0"/>
          <w:numId w:val="9"/>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Newer satellites (e.g., China’s SDGSAT-1) may offer even better data for future research.</w:t>
      </w:r>
    </w:p>
    <w:p w14:paraId="3DF17EF2"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lastRenderedPageBreak/>
        <w:t>7. Example Illustration</w:t>
      </w:r>
    </w:p>
    <w:p w14:paraId="749FEA0B" w14:textId="2F5E4B7D" w:rsidR="00A40AAE" w:rsidRPr="003B65A2" w:rsidRDefault="00A40AAE">
      <w:pPr>
        <w:pStyle w:val="ListParagraph"/>
        <w:numPr>
          <w:ilvl w:val="0"/>
          <w:numId w:val="10"/>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document provides visual and statistical examples showing how DMSP blurs city boundaries and spreads light over adjacent areas, leading to exaggerated estimates of disaster impact zones.</w:t>
      </w:r>
    </w:p>
    <w:p w14:paraId="35E2A9EC" w14:textId="2D9B6181" w:rsidR="00A40AAE" w:rsidRPr="003B65A2" w:rsidRDefault="00A40AAE">
      <w:pPr>
        <w:pStyle w:val="ListParagraph"/>
        <w:numPr>
          <w:ilvl w:val="0"/>
          <w:numId w:val="10"/>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In one case, DMSP data attributed reductions in city lights (due to disaster) to neighboring areas, distorting the true spatial pattern of economic loss.</w:t>
      </w:r>
    </w:p>
    <w:p w14:paraId="5C95776D" w14:textId="77777777" w:rsidR="00A40AAE" w:rsidRPr="003B65A2" w:rsidRDefault="00A40AAE" w:rsidP="005F7C7E">
      <w:pPr>
        <w:pStyle w:val="ListParagraph"/>
        <w:autoSpaceDE w:val="0"/>
        <w:autoSpaceDN w:val="0"/>
        <w:adjustRightInd w:val="0"/>
        <w:spacing w:after="0" w:line="276" w:lineRule="auto"/>
        <w:ind w:left="1800" w:right="-720"/>
        <w:rPr>
          <w:rFonts w:ascii="Arial" w:hAnsi="Arial" w:cs="Arial"/>
          <w:kern w:val="0"/>
          <w:sz w:val="20"/>
          <w:szCs w:val="20"/>
          <w:lang w:val="en-US"/>
        </w:rPr>
      </w:pPr>
    </w:p>
    <w:p w14:paraId="55A12300" w14:textId="29EB5B71" w:rsidR="00EA222E" w:rsidRDefault="00A40AAE" w:rsidP="005103DF">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b/>
          <w:bCs/>
          <w:kern w:val="0"/>
          <w:sz w:val="20"/>
          <w:szCs w:val="20"/>
          <w:lang w:val="en-US"/>
        </w:rPr>
        <w:t>In summary:</w:t>
      </w:r>
      <w:r w:rsidRPr="003B65A2">
        <w:rPr>
          <w:rFonts w:ascii="Arial" w:hAnsi="Arial" w:cs="Arial"/>
          <w:kern w:val="0"/>
          <w:sz w:val="20"/>
          <w:szCs w:val="20"/>
          <w:lang w:val="en-US"/>
        </w:rPr>
        <w:t xml:space="preserve"> The document demonstrates that reliance on outdated or harmonized night-time lights data (DMSP or DMSP-like) can significantly distort disaster impact estimates due to technical limitations and spatial autocorrelation artifacts. The authors recommend using VIIRS data for more accurate and precise assessments, especially in spatially explicit disaster impact studies.</w:t>
      </w:r>
    </w:p>
    <w:p w14:paraId="6C783A4E" w14:textId="77777777" w:rsidR="005103DF" w:rsidRPr="00F67D62" w:rsidRDefault="005103DF" w:rsidP="005103DF">
      <w:pPr>
        <w:pStyle w:val="NormalWeb"/>
        <w:numPr>
          <w:ilvl w:val="0"/>
          <w:numId w:val="1"/>
        </w:numPr>
        <w:rPr>
          <w:rFonts w:ascii="Arial" w:hAnsi="Arial" w:cs="Arial"/>
          <w:color w:val="000000" w:themeColor="text1"/>
          <w:sz w:val="20"/>
          <w:szCs w:val="20"/>
        </w:rPr>
      </w:pPr>
      <w:r w:rsidRPr="00F67D62">
        <w:rPr>
          <w:rFonts w:ascii="Arial" w:hAnsi="Arial" w:cs="Arial"/>
          <w:color w:val="000000" w:themeColor="text1"/>
          <w:sz w:val="20"/>
          <w:szCs w:val="20"/>
        </w:rPr>
        <w:t>Gibson et al. (2024) Are Disaster Impact Estimates Distorted by Errors in Popular Night-Time Lights Data?</w:t>
      </w:r>
    </w:p>
    <w:p w14:paraId="5B61B9C5" w14:textId="77777777" w:rsidR="005103DF" w:rsidRDefault="005103DF" w:rsidP="005103DF">
      <w:pPr>
        <w:pStyle w:val="NormalWeb"/>
        <w:spacing w:before="0" w:beforeAutospacing="0" w:after="0" w:afterAutospacing="0"/>
        <w:ind w:left="1440"/>
        <w:rPr>
          <w:rFonts w:ascii="Arial" w:hAnsi="Arial" w:cs="Arial"/>
          <w:color w:val="242424"/>
          <w:sz w:val="20"/>
          <w:szCs w:val="20"/>
          <w:bdr w:val="none" w:sz="0" w:space="0" w:color="auto" w:frame="1"/>
        </w:rPr>
      </w:pPr>
      <w:r w:rsidRPr="00F67D62">
        <w:rPr>
          <w:rFonts w:ascii="Arial" w:hAnsi="Arial" w:cs="Arial"/>
          <w:color w:val="242424"/>
          <w:sz w:val="20"/>
          <w:szCs w:val="20"/>
          <w:bdr w:val="none" w:sz="0" w:space="0" w:color="auto" w:frame="1"/>
        </w:rPr>
        <w:t xml:space="preserve">For our purposes it’s less relevant than I had thought. It still assumes linearity between pre-disaster and post-recovery light levels. Instead, it focuses on the continued use of DMSP data that have many limitations. The detailed comparison of DMSP and VIIRS in the damage/recovery context is insightful, though. I still think that the question of </w:t>
      </w:r>
      <w:r w:rsidRPr="00F67D62">
        <w:rPr>
          <w:rFonts w:ascii="Arial" w:hAnsi="Arial" w:cs="Arial"/>
          <w:b/>
          <w:bCs/>
          <w:color w:val="242424"/>
          <w:sz w:val="20"/>
          <w:szCs w:val="20"/>
          <w:highlight w:val="yellow"/>
          <w:bdr w:val="none" w:sz="0" w:space="0" w:color="auto" w:frame="1"/>
        </w:rPr>
        <w:t>_</w:t>
      </w:r>
      <w:r w:rsidRPr="00F67D62">
        <w:rPr>
          <w:rFonts w:ascii="Arial" w:hAnsi="Arial" w:cs="Arial"/>
          <w:b/>
          <w:bCs/>
          <w:i/>
          <w:iCs/>
          <w:color w:val="242424"/>
          <w:sz w:val="20"/>
          <w:szCs w:val="20"/>
          <w:highlight w:val="yellow"/>
          <w:bdr w:val="none" w:sz="0" w:space="0" w:color="auto" w:frame="1"/>
        </w:rPr>
        <w:t>how</w:t>
      </w:r>
      <w:r w:rsidRPr="00F67D62">
        <w:rPr>
          <w:rFonts w:ascii="Arial" w:hAnsi="Arial" w:cs="Arial"/>
          <w:b/>
          <w:bCs/>
          <w:color w:val="242424"/>
          <w:sz w:val="20"/>
          <w:szCs w:val="20"/>
          <w:highlight w:val="yellow"/>
          <w:bdr w:val="none" w:sz="0" w:space="0" w:color="auto" w:frame="1"/>
        </w:rPr>
        <w:t>_ light emissions change during recovery as a function of changes in economic/industrial activity</w:t>
      </w:r>
      <w:r w:rsidRPr="00F67D62">
        <w:rPr>
          <w:rFonts w:ascii="Arial" w:hAnsi="Arial" w:cs="Arial"/>
          <w:b/>
          <w:bCs/>
          <w:color w:val="242424"/>
          <w:sz w:val="20"/>
          <w:szCs w:val="20"/>
          <w:bdr w:val="none" w:sz="0" w:space="0" w:color="auto" w:frame="1"/>
        </w:rPr>
        <w:t xml:space="preserve"> </w:t>
      </w:r>
      <w:r w:rsidRPr="00F67D62">
        <w:rPr>
          <w:rFonts w:ascii="Arial" w:hAnsi="Arial" w:cs="Arial"/>
          <w:color w:val="242424"/>
          <w:sz w:val="20"/>
          <w:szCs w:val="20"/>
          <w:bdr w:val="none" w:sz="0" w:space="0" w:color="auto" w:frame="1"/>
        </w:rPr>
        <w:t xml:space="preserve">(-&gt; Kobe, 1995), </w:t>
      </w:r>
      <w:r w:rsidRPr="00F67D62">
        <w:rPr>
          <w:rFonts w:ascii="Arial" w:hAnsi="Arial" w:cs="Arial"/>
          <w:b/>
          <w:bCs/>
          <w:color w:val="242424"/>
          <w:sz w:val="20"/>
          <w:szCs w:val="20"/>
          <w:bdr w:val="none" w:sz="0" w:space="0" w:color="auto" w:frame="1"/>
        </w:rPr>
        <w:t>leapfrogging</w:t>
      </w:r>
      <w:r w:rsidRPr="00F67D62">
        <w:rPr>
          <w:rFonts w:ascii="Arial" w:hAnsi="Arial" w:cs="Arial"/>
          <w:color w:val="242424"/>
          <w:sz w:val="20"/>
          <w:szCs w:val="20"/>
          <w:bdr w:val="none" w:sz="0" w:space="0" w:color="auto" w:frame="1"/>
        </w:rPr>
        <w:t xml:space="preserve"> (people </w:t>
      </w:r>
      <w:proofErr w:type="spellStart"/>
      <w:r w:rsidRPr="00F67D62">
        <w:rPr>
          <w:rFonts w:ascii="Arial" w:hAnsi="Arial" w:cs="Arial"/>
          <w:color w:val="242424"/>
          <w:sz w:val="20"/>
          <w:szCs w:val="20"/>
          <w:bdr w:val="none" w:sz="0" w:space="0" w:color="auto" w:frame="1"/>
        </w:rPr>
        <w:t>en</w:t>
      </w:r>
      <w:proofErr w:type="spellEnd"/>
      <w:r w:rsidRPr="00F67D62">
        <w:rPr>
          <w:rFonts w:ascii="Arial" w:hAnsi="Arial" w:cs="Arial"/>
          <w:color w:val="242424"/>
          <w:sz w:val="20"/>
          <w:szCs w:val="20"/>
          <w:bdr w:val="none" w:sz="0" w:space="0" w:color="auto" w:frame="1"/>
        </w:rPr>
        <w:t xml:space="preserve"> masse replacing old light types of low-emission LED, etc.) is one of the most interesting and relevant ones. It will all depend on how much ground information you can get, on electric grid data, NGO reports (donations of LED lamps after Haiyan, etc.), disaggregated GDP data, etc.</w:t>
      </w:r>
    </w:p>
    <w:p w14:paraId="4F20A8EF" w14:textId="77777777" w:rsidR="005103DF" w:rsidRDefault="005103DF" w:rsidP="005103DF">
      <w:pPr>
        <w:pStyle w:val="NormalWeb"/>
        <w:spacing w:before="0" w:beforeAutospacing="0" w:after="0" w:afterAutospacing="0"/>
        <w:ind w:left="1440"/>
        <w:rPr>
          <w:rFonts w:ascii="Arial" w:hAnsi="Arial" w:cs="Arial"/>
          <w:color w:val="242424"/>
          <w:sz w:val="20"/>
          <w:szCs w:val="20"/>
          <w:bdr w:val="none" w:sz="0" w:space="0" w:color="auto" w:frame="1"/>
        </w:rPr>
      </w:pPr>
    </w:p>
    <w:p w14:paraId="32FDC805" w14:textId="77777777" w:rsidR="005103DF" w:rsidRPr="00D702DB" w:rsidRDefault="005103DF" w:rsidP="005103DF">
      <w:pPr>
        <w:pStyle w:val="NormalWeb"/>
        <w:spacing w:before="0" w:beforeAutospacing="0" w:after="0" w:afterAutospacing="0"/>
        <w:ind w:left="720"/>
        <w:rPr>
          <w:rFonts w:ascii="Arial" w:hAnsi="Arial" w:cs="Arial"/>
          <w:color w:val="0432FF"/>
          <w:sz w:val="20"/>
          <w:szCs w:val="20"/>
          <w:bdr w:val="none" w:sz="0" w:space="0" w:color="auto" w:frame="1"/>
        </w:rPr>
      </w:pPr>
      <w:r w:rsidRPr="00D702DB">
        <w:rPr>
          <w:rFonts w:ascii="Arial" w:hAnsi="Arial" w:cs="Arial"/>
          <w:color w:val="0432FF"/>
          <w:sz w:val="20"/>
          <w:szCs w:val="20"/>
          <w:bdr w:val="none" w:sz="0" w:space="0" w:color="auto" w:frame="1"/>
        </w:rPr>
        <w:t>economic/industrial activity – through settlement stratification, and baseline modelling</w:t>
      </w:r>
    </w:p>
    <w:p w14:paraId="4CEF3092" w14:textId="77777777" w:rsidR="005103DF" w:rsidRPr="00D702DB" w:rsidRDefault="005103DF" w:rsidP="005103DF">
      <w:pPr>
        <w:pStyle w:val="NormalWeb"/>
        <w:spacing w:before="0" w:beforeAutospacing="0" w:after="0" w:afterAutospacing="0"/>
        <w:ind w:left="720"/>
        <w:rPr>
          <w:rFonts w:ascii="Arial" w:hAnsi="Arial" w:cs="Arial"/>
          <w:color w:val="0432FF"/>
          <w:sz w:val="20"/>
          <w:szCs w:val="20"/>
          <w:bdr w:val="none" w:sz="0" w:space="0" w:color="auto" w:frame="1"/>
        </w:rPr>
      </w:pPr>
      <w:r w:rsidRPr="00D702DB">
        <w:rPr>
          <w:rFonts w:ascii="Arial" w:hAnsi="Arial" w:cs="Arial"/>
          <w:color w:val="0432FF"/>
          <w:sz w:val="20"/>
          <w:szCs w:val="20"/>
          <w:bdr w:val="none" w:sz="0" w:space="0" w:color="auto" w:frame="1"/>
        </w:rPr>
        <w:t xml:space="preserve">LED transition – can be noted, information must be gathered, but not a priority </w:t>
      </w:r>
    </w:p>
    <w:p w14:paraId="0F273931" w14:textId="77777777" w:rsidR="005103DF" w:rsidRPr="00D702DB" w:rsidRDefault="005103DF" w:rsidP="005103DF">
      <w:pPr>
        <w:pStyle w:val="NormalWeb"/>
        <w:spacing w:before="0" w:beforeAutospacing="0" w:after="0" w:afterAutospacing="0"/>
        <w:ind w:left="720"/>
        <w:rPr>
          <w:rFonts w:ascii="Arial" w:hAnsi="Arial" w:cs="Arial"/>
          <w:color w:val="0432FF"/>
          <w:sz w:val="20"/>
          <w:szCs w:val="20"/>
          <w:bdr w:val="none" w:sz="0" w:space="0" w:color="auto" w:frame="1"/>
        </w:rPr>
      </w:pPr>
      <w:r w:rsidRPr="00D702DB">
        <w:rPr>
          <w:rFonts w:ascii="Arial" w:hAnsi="Arial" w:cs="Arial"/>
          <w:color w:val="0432FF"/>
          <w:sz w:val="20"/>
          <w:szCs w:val="20"/>
          <w:bdr w:val="none" w:sz="0" w:space="0" w:color="auto" w:frame="1"/>
        </w:rPr>
        <w:t xml:space="preserve">Electric grid data – present and accessible on a </w:t>
      </w:r>
      <w:proofErr w:type="spellStart"/>
      <w:r w:rsidRPr="00D702DB">
        <w:rPr>
          <w:rFonts w:ascii="Arial" w:hAnsi="Arial" w:cs="Arial"/>
          <w:color w:val="0432FF"/>
          <w:sz w:val="20"/>
          <w:szCs w:val="20"/>
          <w:bdr w:val="none" w:sz="0" w:space="0" w:color="auto" w:frame="1"/>
        </w:rPr>
        <w:t>subgrid</w:t>
      </w:r>
      <w:proofErr w:type="spellEnd"/>
      <w:r w:rsidRPr="00D702DB">
        <w:rPr>
          <w:rFonts w:ascii="Arial" w:hAnsi="Arial" w:cs="Arial"/>
          <w:color w:val="0432FF"/>
          <w:sz w:val="20"/>
          <w:szCs w:val="20"/>
          <w:bdr w:val="none" w:sz="0" w:space="0" w:color="auto" w:frame="1"/>
        </w:rPr>
        <w:t xml:space="preserve"> level</w:t>
      </w:r>
    </w:p>
    <w:p w14:paraId="6EC9D2B5" w14:textId="77777777" w:rsidR="005103DF" w:rsidRPr="00D702DB" w:rsidRDefault="005103DF" w:rsidP="005103DF">
      <w:pPr>
        <w:pStyle w:val="NormalWeb"/>
        <w:spacing w:before="0" w:beforeAutospacing="0" w:after="0" w:afterAutospacing="0"/>
        <w:ind w:left="720"/>
        <w:rPr>
          <w:rFonts w:ascii="Arial" w:hAnsi="Arial" w:cs="Arial"/>
          <w:color w:val="0432FF"/>
          <w:sz w:val="20"/>
          <w:szCs w:val="20"/>
          <w:bdr w:val="none" w:sz="0" w:space="0" w:color="auto" w:frame="1"/>
        </w:rPr>
      </w:pPr>
      <w:r w:rsidRPr="00D702DB">
        <w:rPr>
          <w:rFonts w:ascii="Arial" w:hAnsi="Arial" w:cs="Arial"/>
          <w:color w:val="0432FF"/>
          <w:sz w:val="20"/>
          <w:szCs w:val="20"/>
          <w:bdr w:val="none" w:sz="0" w:space="0" w:color="auto" w:frame="1"/>
        </w:rPr>
        <w:t>NGO reports – to be gathered</w:t>
      </w:r>
    </w:p>
    <w:p w14:paraId="4FA555A6" w14:textId="77777777" w:rsidR="005103DF" w:rsidRDefault="005103DF" w:rsidP="005103DF">
      <w:pPr>
        <w:pStyle w:val="NormalWeb"/>
        <w:spacing w:before="0" w:beforeAutospacing="0" w:after="0" w:afterAutospacing="0"/>
        <w:ind w:left="720"/>
        <w:rPr>
          <w:rFonts w:ascii="Arial" w:hAnsi="Arial" w:cs="Arial"/>
          <w:b/>
          <w:bCs/>
          <w:color w:val="242424"/>
          <w:sz w:val="20"/>
          <w:szCs w:val="20"/>
          <w:bdr w:val="none" w:sz="0" w:space="0" w:color="auto" w:frame="1"/>
        </w:rPr>
      </w:pPr>
      <w:r w:rsidRPr="00D702DB">
        <w:rPr>
          <w:rFonts w:ascii="Arial" w:hAnsi="Arial" w:cs="Arial"/>
          <w:color w:val="0432FF"/>
          <w:sz w:val="20"/>
          <w:szCs w:val="20"/>
          <w:bdr w:val="none" w:sz="0" w:space="0" w:color="auto" w:frame="1"/>
        </w:rPr>
        <w:t>GDP data – to be gathered (to check literature)</w:t>
      </w:r>
    </w:p>
    <w:p w14:paraId="51AD1C45" w14:textId="77777777" w:rsidR="005103DF" w:rsidRDefault="005103DF" w:rsidP="005F7C7E">
      <w:pPr>
        <w:autoSpaceDE w:val="0"/>
        <w:autoSpaceDN w:val="0"/>
        <w:adjustRightInd w:val="0"/>
        <w:spacing w:after="0" w:line="276" w:lineRule="auto"/>
        <w:ind w:left="1080" w:right="-720"/>
        <w:rPr>
          <w:rFonts w:ascii="Arial" w:hAnsi="Arial" w:cs="Arial"/>
          <w:kern w:val="0"/>
          <w:sz w:val="20"/>
          <w:szCs w:val="20"/>
          <w:lang w:val="en-US"/>
        </w:rPr>
      </w:pPr>
    </w:p>
    <w:p w14:paraId="36336360" w14:textId="77777777" w:rsidR="005103DF" w:rsidRPr="003B65A2" w:rsidRDefault="005103DF" w:rsidP="005F7C7E">
      <w:pPr>
        <w:autoSpaceDE w:val="0"/>
        <w:autoSpaceDN w:val="0"/>
        <w:adjustRightInd w:val="0"/>
        <w:spacing w:after="0" w:line="276" w:lineRule="auto"/>
        <w:ind w:left="1080" w:right="-720"/>
        <w:rPr>
          <w:rFonts w:ascii="Arial" w:hAnsi="Arial" w:cs="Arial"/>
          <w:kern w:val="0"/>
          <w:sz w:val="20"/>
          <w:szCs w:val="20"/>
          <w:lang w:val="en-US"/>
        </w:rPr>
      </w:pPr>
    </w:p>
    <w:p w14:paraId="245F9B3E" w14:textId="0D5A6A6C" w:rsidR="00EA222E" w:rsidRPr="003B65A2" w:rsidRDefault="00EA222E">
      <w:pPr>
        <w:pStyle w:val="ReferenceTitle"/>
        <w:numPr>
          <w:ilvl w:val="0"/>
          <w:numId w:val="15"/>
        </w:numPr>
        <w:spacing w:line="276" w:lineRule="auto"/>
      </w:pPr>
      <w:r w:rsidRPr="003B65A2">
        <w:t xml:space="preserve">Hung, L.W., Anderson, S.J., Pipkin, A., &amp; Fristrup, K. (2021). </w:t>
      </w:r>
      <w:r w:rsidRPr="003B65A2">
        <w:rPr>
          <w:b/>
          <w:bCs/>
        </w:rPr>
        <w:t>Changes in night sky brightness after a countywide LED retrofit</w:t>
      </w:r>
      <w:r w:rsidRPr="003B65A2">
        <w:t xml:space="preserve">. </w:t>
      </w:r>
      <w:r w:rsidRPr="003B65A2">
        <w:rPr>
          <w:i/>
          <w:iCs/>
        </w:rPr>
        <w:t>J Environ Manage, 292</w:t>
      </w:r>
      <w:r w:rsidRPr="003B65A2">
        <w:t>, 112776</w:t>
      </w:r>
      <w:r w:rsidR="005F7C7E" w:rsidRPr="003B65A2">
        <w:rPr>
          <w:rFonts w:eastAsiaTheme="minorHAnsi"/>
        </w:rPr>
        <w:t xml:space="preserve">, </w:t>
      </w:r>
      <w:hyperlink r:id="rId9" w:history="1">
        <w:r w:rsidR="005F7C7E" w:rsidRPr="003B65A2">
          <w:rPr>
            <w:rStyle w:val="Hyperlink"/>
            <w:rFonts w:eastAsiaTheme="minorHAnsi"/>
          </w:rPr>
          <w:t>https://doi.org/10.1016/j.jenvman.2021.112776</w:t>
        </w:r>
      </w:hyperlink>
      <w:r w:rsidR="005F7C7E" w:rsidRPr="003B65A2">
        <w:rPr>
          <w:rFonts w:eastAsiaTheme="minorHAnsi"/>
        </w:rPr>
        <w:t xml:space="preserve"> </w:t>
      </w:r>
    </w:p>
    <w:p w14:paraId="415CE119" w14:textId="77777777" w:rsidR="005F7C7E" w:rsidRPr="003B65A2" w:rsidRDefault="005F7C7E" w:rsidP="005F7C7E">
      <w:pPr>
        <w:pStyle w:val="ReferenceTitle"/>
        <w:spacing w:line="276" w:lineRule="auto"/>
        <w:ind w:left="1080"/>
      </w:pPr>
    </w:p>
    <w:p w14:paraId="32F5255A"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1. Key Findings:</w:t>
      </w:r>
    </w:p>
    <w:p w14:paraId="01A6B94D" w14:textId="77777777" w:rsidR="00EA222E" w:rsidRPr="003B65A2" w:rsidRDefault="00EA222E">
      <w:pPr>
        <w:pStyle w:val="jot-paragraph-element"/>
        <w:numPr>
          <w:ilvl w:val="0"/>
          <w:numId w:val="11"/>
        </w:numPr>
        <w:tabs>
          <w:tab w:val="clear" w:pos="720"/>
          <w:tab w:val="num" w:pos="180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Ground-based measurements (calibrated camera):</w:t>
      </w:r>
    </w:p>
    <w:p w14:paraId="741F7D03"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After the LED retrofit, the night sky became significantly brighter. The zenith sky brightness increased by 60% (a decrease of 0.5 mag/arcsec²), and the artificial light pollution ratio rose from 2.3 to 3.69 times the natural sky level.</w:t>
      </w:r>
    </w:p>
    <w:p w14:paraId="770BC536"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The light dome over Wenatchee (the largest city) became larger and extended higher into the sky, causing more stars to be lost to skyglow (from 39% to 51% of stars lost).</w:t>
      </w:r>
    </w:p>
    <w:p w14:paraId="1999AE38"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Despite using mostly 3000K LEDs (considered more night-sky friendly) and reducing average lumen output per light by about 50%, skyglow still increased.</w:t>
      </w:r>
    </w:p>
    <w:p w14:paraId="37BD48BA" w14:textId="77777777" w:rsidR="00EA222E" w:rsidRPr="003B65A2" w:rsidRDefault="00EA222E">
      <w:pPr>
        <w:pStyle w:val="jot-paragraph-element"/>
        <w:numPr>
          <w:ilvl w:val="0"/>
          <w:numId w:val="11"/>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Satellite measurements (VIIRS):</w:t>
      </w:r>
    </w:p>
    <w:p w14:paraId="739BCBC1"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 xml:space="preserve">VIIRS data showed a </w:t>
      </w:r>
      <w:r w:rsidRPr="004E0647">
        <w:rPr>
          <w:rFonts w:ascii="Arial" w:hAnsi="Arial" w:cs="Arial"/>
          <w:b/>
          <w:bCs/>
          <w:sz w:val="20"/>
          <w:szCs w:val="20"/>
        </w:rPr>
        <w:t>decrease in upward radiance after the retrofit</w:t>
      </w:r>
      <w:r w:rsidRPr="003B65A2">
        <w:rPr>
          <w:rFonts w:ascii="Arial" w:hAnsi="Arial" w:cs="Arial"/>
          <w:sz w:val="20"/>
          <w:szCs w:val="20"/>
        </w:rPr>
        <w:t>, suggesting the area was darker from the satellite's perspective.</w:t>
      </w:r>
    </w:p>
    <w:p w14:paraId="3AE49031"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lastRenderedPageBreak/>
        <w:t xml:space="preserve">This apparent contradiction is due to </w:t>
      </w:r>
      <w:r w:rsidRPr="004E0647">
        <w:rPr>
          <w:rFonts w:ascii="Arial" w:hAnsi="Arial" w:cs="Arial"/>
          <w:b/>
          <w:bCs/>
          <w:sz w:val="20"/>
          <w:szCs w:val="20"/>
        </w:rPr>
        <w:t>VIIRS's insensitivity to blue light (wavelengths &lt;500 nm), which is more prevalent in LED lighting, and improved shielding/directivity of the new luminaires</w:t>
      </w:r>
      <w:r w:rsidRPr="003B65A2">
        <w:rPr>
          <w:rFonts w:ascii="Arial" w:hAnsi="Arial" w:cs="Arial"/>
          <w:sz w:val="20"/>
          <w:szCs w:val="20"/>
        </w:rPr>
        <w:t>.</w:t>
      </w:r>
    </w:p>
    <w:p w14:paraId="6D7C82FC"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2. Why Did Skyglow Increase?</w:t>
      </w:r>
    </w:p>
    <w:p w14:paraId="5CB9FFEC" w14:textId="77777777" w:rsidR="00EA222E" w:rsidRPr="003B65A2" w:rsidRDefault="00EA222E">
      <w:pPr>
        <w:pStyle w:val="jot-list-item-element"/>
        <w:numPr>
          <w:ilvl w:val="0"/>
          <w:numId w:val="12"/>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Spectral Shift:</w:t>
      </w:r>
      <w:r w:rsidRPr="003B65A2">
        <w:rPr>
          <w:rFonts w:ascii="Arial" w:hAnsi="Arial" w:cs="Arial"/>
          <w:sz w:val="20"/>
          <w:szCs w:val="20"/>
        </w:rPr>
        <w:t xml:space="preserve"> LEDs emit more short-wavelength (</w:t>
      </w:r>
      <w:r w:rsidRPr="004E0647">
        <w:rPr>
          <w:rFonts w:ascii="Arial" w:hAnsi="Arial" w:cs="Arial"/>
          <w:b/>
          <w:bCs/>
          <w:sz w:val="20"/>
          <w:szCs w:val="20"/>
        </w:rPr>
        <w:t>blue</w:t>
      </w:r>
      <w:r w:rsidRPr="003B65A2">
        <w:rPr>
          <w:rFonts w:ascii="Arial" w:hAnsi="Arial" w:cs="Arial"/>
          <w:sz w:val="20"/>
          <w:szCs w:val="20"/>
        </w:rPr>
        <w:t xml:space="preserve">) light, which </w:t>
      </w:r>
      <w:r w:rsidRPr="004E0647">
        <w:rPr>
          <w:rFonts w:ascii="Arial" w:hAnsi="Arial" w:cs="Arial"/>
          <w:b/>
          <w:bCs/>
          <w:sz w:val="20"/>
          <w:szCs w:val="20"/>
        </w:rPr>
        <w:t>scatters more in the atmosphere and increases skyglow</w:t>
      </w:r>
      <w:r w:rsidRPr="003B65A2">
        <w:rPr>
          <w:rFonts w:ascii="Arial" w:hAnsi="Arial" w:cs="Arial"/>
          <w:sz w:val="20"/>
          <w:szCs w:val="20"/>
        </w:rPr>
        <w:t>, even if total lumen output is reduced.</w:t>
      </w:r>
    </w:p>
    <w:p w14:paraId="669BDCAB" w14:textId="77777777" w:rsidR="00EA222E" w:rsidRPr="003B65A2" w:rsidRDefault="00EA222E">
      <w:pPr>
        <w:pStyle w:val="jot-list-item-element"/>
        <w:numPr>
          <w:ilvl w:val="0"/>
          <w:numId w:val="12"/>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Measurement Limitations:</w:t>
      </w:r>
      <w:r w:rsidRPr="003B65A2">
        <w:rPr>
          <w:rFonts w:ascii="Arial" w:hAnsi="Arial" w:cs="Arial"/>
          <w:sz w:val="20"/>
          <w:szCs w:val="20"/>
        </w:rPr>
        <w:t xml:space="preserve"> Satellite sensors like VIIRS underestimate skyglow after LED retrofits because they cannot detect much of the blue light emitted by LEDs.</w:t>
      </w:r>
    </w:p>
    <w:p w14:paraId="046D8775" w14:textId="77777777" w:rsidR="00EA222E" w:rsidRPr="009670DF" w:rsidRDefault="00EA222E">
      <w:pPr>
        <w:pStyle w:val="jot-list-item-element"/>
        <w:numPr>
          <w:ilvl w:val="0"/>
          <w:numId w:val="12"/>
        </w:numPr>
        <w:tabs>
          <w:tab w:val="clear" w:pos="720"/>
          <w:tab w:val="num" w:pos="1440"/>
        </w:tabs>
        <w:spacing w:before="0" w:beforeAutospacing="0" w:after="0" w:afterAutospacing="0" w:line="276" w:lineRule="auto"/>
        <w:ind w:left="1800"/>
        <w:rPr>
          <w:rFonts w:ascii="Arial" w:hAnsi="Arial" w:cs="Arial"/>
          <w:b/>
          <w:bCs/>
          <w:sz w:val="20"/>
          <w:szCs w:val="20"/>
        </w:rPr>
      </w:pPr>
      <w:r w:rsidRPr="003B65A2">
        <w:rPr>
          <w:rStyle w:val="Strong"/>
          <w:rFonts w:ascii="Arial" w:hAnsi="Arial" w:cs="Arial"/>
          <w:b w:val="0"/>
          <w:bCs w:val="0"/>
          <w:sz w:val="20"/>
          <w:szCs w:val="20"/>
        </w:rPr>
        <w:t>Shielding and Directivity:</w:t>
      </w:r>
      <w:r w:rsidRPr="003B65A2">
        <w:rPr>
          <w:rFonts w:ascii="Arial" w:hAnsi="Arial" w:cs="Arial"/>
          <w:sz w:val="20"/>
          <w:szCs w:val="20"/>
        </w:rPr>
        <w:t xml:space="preserve"> While improved shielding reduces upward light, the </w:t>
      </w:r>
      <w:r w:rsidRPr="009670DF">
        <w:rPr>
          <w:rFonts w:ascii="Arial" w:hAnsi="Arial" w:cs="Arial"/>
          <w:b/>
          <w:bCs/>
          <w:sz w:val="20"/>
          <w:szCs w:val="20"/>
        </w:rPr>
        <w:t>increased blue content still leads to more atmospheric scattering and visible skyglow.</w:t>
      </w:r>
    </w:p>
    <w:p w14:paraId="78F2463A"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3. Implications and Recommendations:</w:t>
      </w:r>
    </w:p>
    <w:p w14:paraId="017D1E27" w14:textId="77777777" w:rsidR="00EA222E" w:rsidRPr="003B65A2" w:rsidRDefault="00EA222E">
      <w:pPr>
        <w:pStyle w:val="jot-list-item-element"/>
        <w:numPr>
          <w:ilvl w:val="0"/>
          <w:numId w:val="13"/>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Energy savings and light pollution reduction are not automatically aligned.</w:t>
      </w:r>
      <w:r w:rsidRPr="003B65A2">
        <w:rPr>
          <w:rFonts w:ascii="Arial" w:hAnsi="Arial" w:cs="Arial"/>
          <w:sz w:val="20"/>
          <w:szCs w:val="20"/>
        </w:rPr>
        <w:t xml:space="preserve"> Even with lower energy use and better shielding, skyglow can increase if spectral content is not addressed.</w:t>
      </w:r>
    </w:p>
    <w:p w14:paraId="37FA740B" w14:textId="77777777" w:rsidR="00EA222E" w:rsidRPr="003B65A2" w:rsidRDefault="00EA222E">
      <w:pPr>
        <w:pStyle w:val="jot-paragraph-element"/>
        <w:numPr>
          <w:ilvl w:val="0"/>
          <w:numId w:val="13"/>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To reduce skyglow, communities should:</w:t>
      </w:r>
    </w:p>
    <w:p w14:paraId="1E42947A" w14:textId="77777777" w:rsidR="00EA222E" w:rsidRPr="003B65A2" w:rsidRDefault="00EA222E">
      <w:pPr>
        <w:pStyle w:val="jot-list-item-element"/>
        <w:numPr>
          <w:ilvl w:val="1"/>
          <w:numId w:val="13"/>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Lower overall light levels by more than 50%.</w:t>
      </w:r>
    </w:p>
    <w:p w14:paraId="7B46E063" w14:textId="77777777" w:rsidR="00EA222E" w:rsidRPr="003B65A2" w:rsidRDefault="00EA222E">
      <w:pPr>
        <w:pStyle w:val="jot-list-item-element"/>
        <w:numPr>
          <w:ilvl w:val="1"/>
          <w:numId w:val="13"/>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 xml:space="preserve">Use </w:t>
      </w:r>
      <w:r w:rsidRPr="00B1111E">
        <w:rPr>
          <w:rFonts w:ascii="Arial" w:hAnsi="Arial" w:cs="Arial"/>
          <w:b/>
          <w:bCs/>
          <w:sz w:val="20"/>
          <w:szCs w:val="20"/>
          <w:highlight w:val="yellow"/>
        </w:rPr>
        <w:t>LEDs with warmer color temperatures</w:t>
      </w:r>
      <w:r w:rsidRPr="003B65A2">
        <w:rPr>
          <w:rFonts w:ascii="Arial" w:hAnsi="Arial" w:cs="Arial"/>
          <w:sz w:val="20"/>
          <w:szCs w:val="20"/>
        </w:rPr>
        <w:t xml:space="preserve"> (&lt;3000K).</w:t>
      </w:r>
    </w:p>
    <w:p w14:paraId="691B2E86" w14:textId="77777777" w:rsidR="00EA222E" w:rsidRPr="003B65A2" w:rsidRDefault="00EA222E">
      <w:pPr>
        <w:pStyle w:val="jot-list-item-element"/>
        <w:numPr>
          <w:ilvl w:val="1"/>
          <w:numId w:val="13"/>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Consider adaptive controls (e.g., dimming during low-traffic periods).</w:t>
      </w:r>
    </w:p>
    <w:p w14:paraId="52D4AE8F" w14:textId="77777777" w:rsidR="00EA222E" w:rsidRPr="003B65A2" w:rsidRDefault="00EA222E">
      <w:pPr>
        <w:pStyle w:val="jot-list-item-element"/>
        <w:numPr>
          <w:ilvl w:val="0"/>
          <w:numId w:val="13"/>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Satellite data alone is insufficient</w:t>
      </w:r>
      <w:r w:rsidRPr="003B65A2">
        <w:rPr>
          <w:rFonts w:ascii="Arial" w:hAnsi="Arial" w:cs="Arial"/>
          <w:sz w:val="20"/>
          <w:szCs w:val="20"/>
        </w:rPr>
        <w:t xml:space="preserve"> for assessing skyglow changes after LED retrofits; </w:t>
      </w:r>
      <w:r w:rsidRPr="00B1111E">
        <w:rPr>
          <w:rFonts w:ascii="Arial" w:hAnsi="Arial" w:cs="Arial"/>
          <w:b/>
          <w:bCs/>
          <w:sz w:val="20"/>
          <w:szCs w:val="20"/>
        </w:rPr>
        <w:t>ground-based measurements are essential</w:t>
      </w:r>
      <w:r w:rsidRPr="003B65A2">
        <w:rPr>
          <w:rFonts w:ascii="Arial" w:hAnsi="Arial" w:cs="Arial"/>
          <w:sz w:val="20"/>
          <w:szCs w:val="20"/>
        </w:rPr>
        <w:t>.</w:t>
      </w:r>
    </w:p>
    <w:p w14:paraId="443982A9"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Example Implementation:</w:t>
      </w:r>
    </w:p>
    <w:p w14:paraId="6D5657A5" w14:textId="77777777" w:rsidR="00EA222E" w:rsidRPr="003B65A2" w:rsidRDefault="00EA222E">
      <w:pPr>
        <w:pStyle w:val="jot-paragraph-element"/>
        <w:numPr>
          <w:ilvl w:val="0"/>
          <w:numId w:val="14"/>
        </w:numPr>
        <w:tabs>
          <w:tab w:val="clear" w:pos="720"/>
          <w:tab w:val="num" w:pos="1440"/>
        </w:tabs>
        <w:spacing w:before="0" w:beforeAutospacing="0" w:after="0" w:afterAutospacing="0" w:line="276" w:lineRule="auto"/>
        <w:ind w:left="1800"/>
        <w:rPr>
          <w:rFonts w:ascii="Arial" w:hAnsi="Arial" w:cs="Arial"/>
          <w:sz w:val="20"/>
          <w:szCs w:val="20"/>
        </w:rPr>
      </w:pPr>
      <w:r w:rsidRPr="003B65A2">
        <w:rPr>
          <w:rFonts w:ascii="Arial" w:hAnsi="Arial" w:cs="Arial"/>
          <w:sz w:val="20"/>
          <w:szCs w:val="20"/>
        </w:rPr>
        <w:t>If a city plans an LED retrofit, it should:</w:t>
      </w:r>
    </w:p>
    <w:p w14:paraId="246D555F"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Choose LEDs with color temperatures below 3000K.</w:t>
      </w:r>
    </w:p>
    <w:p w14:paraId="1170DDBA"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Reduce the number and brightness of fixtures where possible.</w:t>
      </w:r>
    </w:p>
    <w:p w14:paraId="31F6F599"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Install adaptive lighting controls.</w:t>
      </w:r>
    </w:p>
    <w:p w14:paraId="6A38BDEE"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Monitor skyglow with calibrated ground-based instruments before and after the retrofit.</w:t>
      </w:r>
    </w:p>
    <w:p w14:paraId="17D4A4D5" w14:textId="77777777" w:rsidR="003B65A2" w:rsidRPr="003B65A2" w:rsidRDefault="00EA222E" w:rsidP="003B65A2">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sz w:val="20"/>
          <w:szCs w:val="20"/>
        </w:rPr>
        <w:t>In summary:</w:t>
      </w:r>
      <w:r w:rsidRPr="003B65A2">
        <w:rPr>
          <w:rFonts w:ascii="Arial" w:hAnsi="Arial" w:cs="Arial"/>
          <w:sz w:val="20"/>
          <w:szCs w:val="20"/>
        </w:rPr>
        <w:t xml:space="preserve"> The Chelan County LED retrofit increased skyglow as measured from the ground, despite energy savings and improved fixture shielding. This was primarily due to the increased blue light emission from LEDs, which is not well detected by satellites but significantly affects night sky brightness. Effective skyglow reduction requires careful attention to both light levels and spectral characteristics.</w:t>
      </w:r>
    </w:p>
    <w:p w14:paraId="202D39B0" w14:textId="77777777" w:rsidR="003B65A2" w:rsidRPr="003B65A2" w:rsidRDefault="003B65A2" w:rsidP="003B65A2">
      <w:pPr>
        <w:pStyle w:val="jot-paragraph-element"/>
        <w:spacing w:before="0" w:beforeAutospacing="0" w:after="0" w:afterAutospacing="0" w:line="276" w:lineRule="auto"/>
        <w:ind w:left="1080"/>
        <w:rPr>
          <w:rFonts w:ascii="Arial" w:hAnsi="Arial" w:cs="Arial"/>
          <w:sz w:val="20"/>
          <w:szCs w:val="20"/>
        </w:rPr>
      </w:pPr>
    </w:p>
    <w:p w14:paraId="41EC8FE9" w14:textId="77777777" w:rsidR="003B65A2" w:rsidRPr="003B65A2" w:rsidRDefault="00EA222E">
      <w:pPr>
        <w:pStyle w:val="jot-paragraph-element"/>
        <w:numPr>
          <w:ilvl w:val="0"/>
          <w:numId w:val="15"/>
        </w:numPr>
        <w:spacing w:before="0" w:beforeAutospacing="0" w:after="0" w:afterAutospacing="0" w:line="276" w:lineRule="auto"/>
        <w:rPr>
          <w:rFonts w:ascii="Arial" w:hAnsi="Arial" w:cs="Arial"/>
        </w:rPr>
      </w:pPr>
      <w:r w:rsidRPr="003B65A2">
        <w:rPr>
          <w:rFonts w:ascii="Arial" w:hAnsi="Arial" w:cs="Arial"/>
          <w:sz w:val="20"/>
          <w:szCs w:val="20"/>
        </w:rPr>
        <w:t xml:space="preserve">Zheng, Q., Mu, T., Zhu, X., Tan, X., Zhou, Y., Li, J., &amp; He, S.Y. (2026). </w:t>
      </w:r>
      <w:r w:rsidRPr="003B65A2">
        <w:rPr>
          <w:rFonts w:ascii="Arial" w:hAnsi="Arial" w:cs="Arial"/>
          <w:b/>
          <w:bCs/>
          <w:sz w:val="20"/>
          <w:szCs w:val="20"/>
        </w:rPr>
        <w:t>Robust reconstruction of seamless daily VIIRS nighttime light imagery with cloud mask refinement and multi-strategy spatiotemporal gap-filling.</w:t>
      </w:r>
      <w:r w:rsidRPr="003B65A2">
        <w:rPr>
          <w:rFonts w:ascii="Arial" w:hAnsi="Arial" w:cs="Arial"/>
          <w:sz w:val="20"/>
          <w:szCs w:val="20"/>
        </w:rPr>
        <w:t xml:space="preserve"> Remote Se</w:t>
      </w:r>
      <w:r w:rsidRPr="003B65A2">
        <w:rPr>
          <w:rFonts w:ascii="Arial" w:hAnsi="Arial" w:cs="Arial"/>
          <w:i/>
          <w:iCs/>
          <w:sz w:val="20"/>
          <w:szCs w:val="20"/>
        </w:rPr>
        <w:t>nsing of Environment, 337</w:t>
      </w:r>
      <w:r w:rsidR="005F7C7E" w:rsidRPr="003B65A2">
        <w:rPr>
          <w:rFonts w:ascii="Arial" w:hAnsi="Arial" w:cs="Arial"/>
          <w:i/>
          <w:iCs/>
          <w:sz w:val="20"/>
          <w:szCs w:val="20"/>
        </w:rPr>
        <w:t xml:space="preserve">, </w:t>
      </w:r>
      <w:hyperlink r:id="rId10" w:history="1">
        <w:r w:rsidR="005F7C7E" w:rsidRPr="003B65A2">
          <w:rPr>
            <w:rStyle w:val="Hyperlink"/>
            <w:rFonts w:ascii="Arial" w:hAnsi="Arial" w:cs="Arial"/>
            <w:sz w:val="20"/>
            <w:szCs w:val="20"/>
          </w:rPr>
          <w:t>https://doi.org/10.1016/j.rse.2026.115328</w:t>
        </w:r>
      </w:hyperlink>
    </w:p>
    <w:p w14:paraId="181E07BE" w14:textId="77777777" w:rsidR="003B65A2" w:rsidRPr="003B65A2" w:rsidRDefault="003B65A2" w:rsidP="003B65A2">
      <w:pPr>
        <w:pStyle w:val="jot-paragraph-element"/>
        <w:spacing w:before="0" w:beforeAutospacing="0" w:after="0" w:afterAutospacing="0" w:line="276" w:lineRule="auto"/>
        <w:ind w:left="1080"/>
        <w:rPr>
          <w:rFonts w:ascii="Arial" w:hAnsi="Arial" w:cs="Arial"/>
          <w:sz w:val="20"/>
          <w:szCs w:val="20"/>
        </w:rPr>
      </w:pPr>
    </w:p>
    <w:p w14:paraId="6EA2CA1C" w14:textId="7E4E2CEA" w:rsidR="005F7C7E" w:rsidRPr="003B65A2" w:rsidRDefault="005F7C7E" w:rsidP="003B65A2">
      <w:pPr>
        <w:pStyle w:val="jot-paragraph-element"/>
        <w:spacing w:before="0" w:beforeAutospacing="0" w:after="0" w:afterAutospacing="0" w:line="276" w:lineRule="auto"/>
        <w:ind w:left="1080"/>
        <w:rPr>
          <w:rFonts w:ascii="Arial" w:hAnsi="Arial" w:cs="Arial"/>
          <w:sz w:val="20"/>
          <w:szCs w:val="20"/>
        </w:rPr>
      </w:pPr>
      <w:r w:rsidRPr="003B65A2">
        <w:rPr>
          <w:rFonts w:ascii="Arial" w:hAnsi="Arial" w:cs="Arial"/>
          <w:sz w:val="20"/>
          <w:szCs w:val="20"/>
        </w:rPr>
        <w:t>1. Background and Motivation</w:t>
      </w:r>
    </w:p>
    <w:p w14:paraId="76308550" w14:textId="4F4FC0AC" w:rsidR="005F7C7E" w:rsidRPr="003B65A2" w:rsidRDefault="005F7C7E">
      <w:pPr>
        <w:pStyle w:val="ReferenceTitle"/>
        <w:numPr>
          <w:ilvl w:val="0"/>
          <w:numId w:val="16"/>
        </w:numPr>
        <w:spacing w:line="276" w:lineRule="auto"/>
      </w:pPr>
      <w:r w:rsidRPr="003B65A2">
        <w:lastRenderedPageBreak/>
        <w:t>Daily VIIRS Nighttime Light (NTL) data are valuable for monitoring human activities, urbanization, socioeconomic variables, light pollution, and disaster impacts.</w:t>
      </w:r>
    </w:p>
    <w:p w14:paraId="3E77328B" w14:textId="11D101D5" w:rsidR="005F7C7E" w:rsidRPr="003B65A2" w:rsidRDefault="005F7C7E">
      <w:pPr>
        <w:pStyle w:val="ReferenceTitle"/>
        <w:numPr>
          <w:ilvl w:val="0"/>
          <w:numId w:val="16"/>
        </w:numPr>
        <w:spacing w:line="276" w:lineRule="auto"/>
      </w:pPr>
      <w:r w:rsidRPr="003B65A2">
        <w:t>The utility of daily NTL data is limited by pervasive data gaps, mainly due to cloud contamination and poor-quality observations. About 30–70% of daily observations per pixel are missing.</w:t>
      </w:r>
    </w:p>
    <w:p w14:paraId="7DDAC84C" w14:textId="1A401508" w:rsidR="005F7C7E" w:rsidRPr="003B65A2" w:rsidRDefault="005F7C7E">
      <w:pPr>
        <w:pStyle w:val="ReferenceTitle"/>
        <w:numPr>
          <w:ilvl w:val="0"/>
          <w:numId w:val="16"/>
        </w:numPr>
        <w:spacing w:line="276" w:lineRule="auto"/>
      </w:pPr>
      <w:r w:rsidRPr="003B65A2">
        <w:t>Existing gap-filling methods are hampered by under-detected clouds, limited applicability in dense gap scenarios, and insufficient robustness assessments.</w:t>
      </w:r>
    </w:p>
    <w:p w14:paraId="4D430897" w14:textId="77777777" w:rsidR="005F7C7E" w:rsidRPr="003B65A2" w:rsidRDefault="005F7C7E" w:rsidP="005F7C7E">
      <w:pPr>
        <w:pStyle w:val="ReferenceTitle"/>
        <w:spacing w:line="276" w:lineRule="auto"/>
        <w:ind w:left="1080"/>
      </w:pPr>
      <w:r w:rsidRPr="003B65A2">
        <w:t>2. Novel Contributions</w:t>
      </w:r>
    </w:p>
    <w:p w14:paraId="1FAD61CC" w14:textId="2D312421" w:rsidR="005F7C7E" w:rsidRPr="003B65A2" w:rsidRDefault="005F7C7E">
      <w:pPr>
        <w:pStyle w:val="ReferenceTitle"/>
        <w:numPr>
          <w:ilvl w:val="0"/>
          <w:numId w:val="17"/>
        </w:numPr>
        <w:spacing w:line="276" w:lineRule="auto"/>
      </w:pPr>
      <w:r w:rsidRPr="003B65A2">
        <w:t>The study introduces a robust spatiotemporal gap-filling framework for seamless daily VIIRS NTL imagery.</w:t>
      </w:r>
    </w:p>
    <w:p w14:paraId="598D99E3" w14:textId="5143DF74" w:rsidR="005F7C7E" w:rsidRPr="003B65A2" w:rsidRDefault="005F7C7E">
      <w:pPr>
        <w:pStyle w:val="ReferenceTitle"/>
        <w:numPr>
          <w:ilvl w:val="0"/>
          <w:numId w:val="17"/>
        </w:numPr>
        <w:spacing w:line="276" w:lineRule="auto"/>
      </w:pPr>
      <w:r w:rsidRPr="003B65A2">
        <w:t xml:space="preserve">Key innovations include: </w:t>
      </w:r>
    </w:p>
    <w:p w14:paraId="28557DF2" w14:textId="14E840E9" w:rsidR="005F7C7E" w:rsidRPr="003B65A2" w:rsidRDefault="005F7C7E">
      <w:pPr>
        <w:pStyle w:val="ReferenceTitle"/>
        <w:numPr>
          <w:ilvl w:val="1"/>
          <w:numId w:val="17"/>
        </w:numPr>
        <w:spacing w:line="276" w:lineRule="auto"/>
      </w:pPr>
      <w:r w:rsidRPr="003B65A2">
        <w:t>A refined cloud mask using a random forest model to better detect and remove under-detected cloud-contaminated pixels.</w:t>
      </w:r>
    </w:p>
    <w:p w14:paraId="72CD76A4" w14:textId="2D0EDF19" w:rsidR="005F7C7E" w:rsidRPr="003B65A2" w:rsidRDefault="005F7C7E">
      <w:pPr>
        <w:pStyle w:val="ReferenceTitle"/>
        <w:numPr>
          <w:ilvl w:val="1"/>
          <w:numId w:val="17"/>
        </w:numPr>
        <w:spacing w:line="276" w:lineRule="auto"/>
      </w:pPr>
      <w:r w:rsidRPr="003B65A2">
        <w:t>Stringent criteria for identifying spatiotemporally similar pixels, leveraging both spatial and temporal characteristics (using K-means clustering, BEAST algorithm for change detection, and Dynamic Time Warping for trajectory similarity).</w:t>
      </w:r>
    </w:p>
    <w:p w14:paraId="4F4D6797" w14:textId="2E917B41" w:rsidR="005F7C7E" w:rsidRPr="003B65A2" w:rsidRDefault="005F7C7E">
      <w:pPr>
        <w:pStyle w:val="ReferenceTitle"/>
        <w:numPr>
          <w:ilvl w:val="1"/>
          <w:numId w:val="17"/>
        </w:numPr>
        <w:spacing w:line="276" w:lineRule="auto"/>
      </w:pPr>
      <w:r w:rsidRPr="003B65A2">
        <w:t>A multi-strategy gap-filling approach that adapts to the availability of similar pixels, including the use of pixels that are themselves data gaps at the target date.</w:t>
      </w:r>
    </w:p>
    <w:p w14:paraId="678BE8FD" w14:textId="77777777" w:rsidR="005F7C7E" w:rsidRPr="003B65A2" w:rsidRDefault="005F7C7E" w:rsidP="005F7C7E">
      <w:pPr>
        <w:pStyle w:val="ReferenceTitle"/>
        <w:spacing w:line="276" w:lineRule="auto"/>
        <w:ind w:left="1080"/>
      </w:pPr>
      <w:r w:rsidRPr="003B65A2">
        <w:t>3. Methodology</w:t>
      </w:r>
    </w:p>
    <w:p w14:paraId="7D7629A4" w14:textId="0869BC77" w:rsidR="005F7C7E" w:rsidRPr="003B65A2" w:rsidRDefault="005F7C7E">
      <w:pPr>
        <w:pStyle w:val="ReferenceTitle"/>
        <w:numPr>
          <w:ilvl w:val="0"/>
          <w:numId w:val="18"/>
        </w:numPr>
        <w:spacing w:line="276" w:lineRule="auto"/>
      </w:pPr>
      <w:r w:rsidRPr="003B65A2">
        <w:t xml:space="preserve">The framework consists of: </w:t>
      </w:r>
    </w:p>
    <w:p w14:paraId="392882D2" w14:textId="5B6FE93C" w:rsidR="005F7C7E" w:rsidRPr="003B65A2" w:rsidRDefault="005F7C7E">
      <w:pPr>
        <w:pStyle w:val="ReferenceTitle"/>
        <w:numPr>
          <w:ilvl w:val="0"/>
          <w:numId w:val="19"/>
        </w:numPr>
        <w:spacing w:line="276" w:lineRule="auto"/>
      </w:pPr>
      <w:r w:rsidRPr="003B65A2">
        <w:t>Data Pre-processing: Denoising, angular correction, and refined cloud masking.</w:t>
      </w:r>
    </w:p>
    <w:p w14:paraId="622F9112" w14:textId="51FF62B8" w:rsidR="005F7C7E" w:rsidRPr="003B65A2" w:rsidRDefault="005F7C7E">
      <w:pPr>
        <w:pStyle w:val="ReferenceTitle"/>
        <w:numPr>
          <w:ilvl w:val="0"/>
          <w:numId w:val="19"/>
        </w:numPr>
        <w:spacing w:line="276" w:lineRule="auto"/>
      </w:pPr>
      <w:r w:rsidRPr="003B65A2">
        <w:t>Similar Pixel Search: Identifies pixels with similar spatial and temporal patterns using advanced algorithms.</w:t>
      </w:r>
    </w:p>
    <w:p w14:paraId="55DD5720" w14:textId="4D7B1106" w:rsidR="005F7C7E" w:rsidRPr="003B65A2" w:rsidRDefault="005F7C7E">
      <w:pPr>
        <w:pStyle w:val="ReferenceTitle"/>
        <w:numPr>
          <w:ilvl w:val="0"/>
          <w:numId w:val="19"/>
        </w:numPr>
        <w:spacing w:line="276" w:lineRule="auto"/>
      </w:pPr>
      <w:r w:rsidRPr="003B65A2">
        <w:t>Multi-strategy Gap-filling:</w:t>
      </w:r>
    </w:p>
    <w:p w14:paraId="27643C92" w14:textId="4685CBE9" w:rsidR="005F7C7E" w:rsidRPr="003B65A2" w:rsidRDefault="005F7C7E">
      <w:pPr>
        <w:pStyle w:val="ReferenceTitle"/>
        <w:numPr>
          <w:ilvl w:val="1"/>
          <w:numId w:val="18"/>
        </w:numPr>
        <w:spacing w:line="276" w:lineRule="auto"/>
      </w:pPr>
      <w:r w:rsidRPr="003B65A2">
        <w:t>Uses valid similar pixels when available (Type 1).</w:t>
      </w:r>
    </w:p>
    <w:p w14:paraId="4B746DA0" w14:textId="15EC7939" w:rsidR="005F7C7E" w:rsidRPr="003B65A2" w:rsidRDefault="005F7C7E">
      <w:pPr>
        <w:pStyle w:val="ReferenceTitle"/>
        <w:numPr>
          <w:ilvl w:val="1"/>
          <w:numId w:val="18"/>
        </w:numPr>
        <w:spacing w:line="276" w:lineRule="auto"/>
      </w:pPr>
      <w:r w:rsidRPr="003B65A2">
        <w:t>Uses similar pixels that are data gaps at the target date (Type 2) when Type 1 is unavailable.</w:t>
      </w:r>
    </w:p>
    <w:p w14:paraId="4C9E82FE" w14:textId="2B6FAA37" w:rsidR="005F7C7E" w:rsidRPr="003B65A2" w:rsidRDefault="005F7C7E">
      <w:pPr>
        <w:pStyle w:val="ReferenceTitle"/>
        <w:numPr>
          <w:ilvl w:val="1"/>
          <w:numId w:val="18"/>
        </w:numPr>
        <w:spacing w:line="276" w:lineRule="auto"/>
      </w:pPr>
      <w:r w:rsidRPr="003B65A2">
        <w:t>Resorts to high-quality adjacent pixels (Type 3) if neither Type 1 nor Type 2 are available.</w:t>
      </w:r>
    </w:p>
    <w:p w14:paraId="78142B61" w14:textId="5E50F843" w:rsidR="005F7C7E" w:rsidRPr="003B65A2" w:rsidRDefault="005F7C7E">
      <w:pPr>
        <w:pStyle w:val="ReferenceTitle"/>
        <w:numPr>
          <w:ilvl w:val="0"/>
          <w:numId w:val="18"/>
        </w:numPr>
        <w:spacing w:line="276" w:lineRule="auto"/>
      </w:pPr>
      <w:r w:rsidRPr="003B65A2">
        <w:t>The method was tested on 30 globally diverse cities using NASA's Black Marble VIIRS NTL product.</w:t>
      </w:r>
    </w:p>
    <w:p w14:paraId="38D111AA" w14:textId="77777777" w:rsidR="005F7C7E" w:rsidRPr="003B65A2" w:rsidRDefault="005F7C7E" w:rsidP="005F7C7E">
      <w:pPr>
        <w:pStyle w:val="ReferenceTitle"/>
        <w:spacing w:line="276" w:lineRule="auto"/>
        <w:ind w:left="1080"/>
      </w:pPr>
      <w:r w:rsidRPr="003B65A2">
        <w:t>4. Evaluation and Results</w:t>
      </w:r>
    </w:p>
    <w:p w14:paraId="479F701D" w14:textId="7BBAE11E" w:rsidR="005F7C7E" w:rsidRPr="003B65A2" w:rsidRDefault="005F7C7E">
      <w:pPr>
        <w:pStyle w:val="ReferenceTitle"/>
        <w:numPr>
          <w:ilvl w:val="0"/>
          <w:numId w:val="20"/>
        </w:numPr>
        <w:spacing w:line="276" w:lineRule="auto"/>
      </w:pPr>
      <w:r w:rsidRPr="003B65A2">
        <w:t xml:space="preserve">The refined cloud mask improved overall accuracy to 91% and revealed that 39% of pixels labeled as valid in the original product were </w:t>
      </w:r>
      <w:proofErr w:type="gramStart"/>
      <w:r w:rsidRPr="003B65A2">
        <w:t>actually cloud-contaminated</w:t>
      </w:r>
      <w:proofErr w:type="gramEnd"/>
      <w:r w:rsidRPr="003B65A2">
        <w:t>.</w:t>
      </w:r>
    </w:p>
    <w:p w14:paraId="4A9CDBB5" w14:textId="4B5B2C5E" w:rsidR="005F7C7E" w:rsidRPr="003B65A2" w:rsidRDefault="005F7C7E">
      <w:pPr>
        <w:pStyle w:val="ReferenceTitle"/>
        <w:numPr>
          <w:ilvl w:val="0"/>
          <w:numId w:val="20"/>
        </w:numPr>
        <w:spacing w:line="276" w:lineRule="auto"/>
      </w:pPr>
      <w:r w:rsidRPr="003B65A2">
        <w:t xml:space="preserve">The proposed gap-filling method outperformed two leading methods (CRYSTAL and Hao's method) across various simulated and real-world scenarios: </w:t>
      </w:r>
    </w:p>
    <w:p w14:paraId="7EA57A0E" w14:textId="1D661030" w:rsidR="005F7C7E" w:rsidRPr="003B65A2" w:rsidRDefault="005F7C7E">
      <w:pPr>
        <w:pStyle w:val="ReferenceTitle"/>
        <w:numPr>
          <w:ilvl w:val="1"/>
          <w:numId w:val="20"/>
        </w:numPr>
        <w:spacing w:line="276" w:lineRule="auto"/>
      </w:pPr>
      <w:r w:rsidRPr="003B65A2">
        <w:t xml:space="preserve">Achieved higher accuracy (R2 = 0.80–0.85, RMSE = 2.13–10.84 </w:t>
      </w:r>
      <w:proofErr w:type="spellStart"/>
      <w:r w:rsidRPr="003B65A2">
        <w:t>nW</w:t>
      </w:r>
      <w:proofErr w:type="spellEnd"/>
      <w:r w:rsidRPr="003B65A2">
        <w:t>/cm2/</w:t>
      </w:r>
      <w:proofErr w:type="spellStart"/>
      <w:r w:rsidRPr="003B65A2">
        <w:t>sr</w:t>
      </w:r>
      <w:proofErr w:type="spellEnd"/>
      <w:r w:rsidRPr="003B65A2">
        <w:t>).</w:t>
      </w:r>
    </w:p>
    <w:p w14:paraId="2D4859FB" w14:textId="6F87B30A" w:rsidR="005F7C7E" w:rsidRPr="003B65A2" w:rsidRDefault="005F7C7E">
      <w:pPr>
        <w:pStyle w:val="ReferenceTitle"/>
        <w:numPr>
          <w:ilvl w:val="1"/>
          <w:numId w:val="20"/>
        </w:numPr>
        <w:spacing w:line="276" w:lineRule="auto"/>
      </w:pPr>
      <w:r w:rsidRPr="003B65A2">
        <w:t>Maintained robust performance under abrupt NTL changes, dense data gaps, and high cloud contamination.</w:t>
      </w:r>
    </w:p>
    <w:p w14:paraId="4BB0C56E" w14:textId="43EC69EA" w:rsidR="005F7C7E" w:rsidRPr="003B65A2" w:rsidRDefault="005F7C7E">
      <w:pPr>
        <w:pStyle w:val="ReferenceTitle"/>
        <w:numPr>
          <w:ilvl w:val="1"/>
          <w:numId w:val="20"/>
        </w:numPr>
        <w:spacing w:line="276" w:lineRule="auto"/>
      </w:pPr>
      <w:r w:rsidRPr="003B65A2">
        <w:t>Demonstrated superior ability to reconstruct NTL images during Hurricane Maria, closely matching official electricity recovery data (correlation coefficient = 0.95).</w:t>
      </w:r>
    </w:p>
    <w:p w14:paraId="5792DF3B" w14:textId="7128417C" w:rsidR="005F7C7E" w:rsidRPr="003B65A2" w:rsidRDefault="005F7C7E">
      <w:pPr>
        <w:pStyle w:val="ReferenceTitle"/>
        <w:numPr>
          <w:ilvl w:val="0"/>
          <w:numId w:val="20"/>
        </w:numPr>
        <w:spacing w:line="276" w:lineRule="auto"/>
      </w:pPr>
      <w:r w:rsidRPr="003B65A2">
        <w:t>The method's stringent similar-pixel search and multi-strategy approach led to more accurate and stable reconstructions, especially in challenging conditions.</w:t>
      </w:r>
    </w:p>
    <w:p w14:paraId="388AC535" w14:textId="77777777" w:rsidR="005F7C7E" w:rsidRPr="003B65A2" w:rsidRDefault="005F7C7E" w:rsidP="005F7C7E">
      <w:pPr>
        <w:pStyle w:val="ReferenceTitle"/>
        <w:spacing w:line="276" w:lineRule="auto"/>
        <w:ind w:left="1080"/>
      </w:pPr>
      <w:r w:rsidRPr="003B65A2">
        <w:t>5. Implications and Applications</w:t>
      </w:r>
    </w:p>
    <w:p w14:paraId="3EBC55E0" w14:textId="48485CEA" w:rsidR="005F7C7E" w:rsidRPr="003B65A2" w:rsidRDefault="005F7C7E">
      <w:pPr>
        <w:pStyle w:val="ReferenceTitle"/>
        <w:numPr>
          <w:ilvl w:val="0"/>
          <w:numId w:val="21"/>
        </w:numPr>
        <w:spacing w:line="276" w:lineRule="auto"/>
      </w:pPr>
      <w:r w:rsidRPr="003B65A2">
        <w:t>The resulting seamless daily NTL data enable more reliable monitoring of human activity, disaster recovery, and environmental impacts.</w:t>
      </w:r>
    </w:p>
    <w:p w14:paraId="5A374120" w14:textId="1B215DD1" w:rsidR="005F7C7E" w:rsidRPr="003B65A2" w:rsidRDefault="005F7C7E">
      <w:pPr>
        <w:pStyle w:val="ReferenceTitle"/>
        <w:numPr>
          <w:ilvl w:val="0"/>
          <w:numId w:val="21"/>
        </w:numPr>
        <w:spacing w:line="276" w:lineRule="auto"/>
      </w:pPr>
      <w:r w:rsidRPr="003B65A2">
        <w:lastRenderedPageBreak/>
        <w:t>The method provides a pixel-type indicator layer, allowing users to trace reconstruction quality and uncertainties.</w:t>
      </w:r>
    </w:p>
    <w:p w14:paraId="14CA3ECC" w14:textId="6A18E879" w:rsidR="005F7C7E" w:rsidRPr="003B65A2" w:rsidRDefault="005F7C7E">
      <w:pPr>
        <w:pStyle w:val="ReferenceTitle"/>
        <w:numPr>
          <w:ilvl w:val="0"/>
          <w:numId w:val="21"/>
        </w:numPr>
        <w:spacing w:line="276" w:lineRule="auto"/>
      </w:pPr>
      <w:r w:rsidRPr="003B65A2">
        <w:t>The approach supports new applications, such as near real-time change detection and fine-scale analysis of human activity patterns.</w:t>
      </w:r>
    </w:p>
    <w:p w14:paraId="2DD7C73E" w14:textId="77777777" w:rsidR="005F7C7E" w:rsidRPr="003B65A2" w:rsidRDefault="005F7C7E" w:rsidP="005F7C7E">
      <w:pPr>
        <w:pStyle w:val="ReferenceTitle"/>
        <w:spacing w:line="276" w:lineRule="auto"/>
        <w:ind w:left="1080"/>
      </w:pPr>
      <w:r w:rsidRPr="003B65A2">
        <w:t>6. Limitations</w:t>
      </w:r>
    </w:p>
    <w:p w14:paraId="4A0352AA" w14:textId="0980A458" w:rsidR="005F7C7E" w:rsidRPr="003B65A2" w:rsidRDefault="005F7C7E">
      <w:pPr>
        <w:pStyle w:val="ReferenceTitle"/>
        <w:numPr>
          <w:ilvl w:val="0"/>
          <w:numId w:val="22"/>
        </w:numPr>
        <w:spacing w:line="276" w:lineRule="auto"/>
      </w:pPr>
      <w:r w:rsidRPr="003B65A2">
        <w:t>The refined cloud mask still has a 9% omission error, especially for low clouds and high-elevation cities.</w:t>
      </w:r>
    </w:p>
    <w:p w14:paraId="7C8725FC" w14:textId="272D87A1" w:rsidR="005F7C7E" w:rsidRPr="003B65A2" w:rsidRDefault="005F7C7E">
      <w:pPr>
        <w:pStyle w:val="ReferenceTitle"/>
        <w:numPr>
          <w:ilvl w:val="0"/>
          <w:numId w:val="22"/>
        </w:numPr>
        <w:spacing w:line="276" w:lineRule="auto"/>
      </w:pPr>
      <w:r w:rsidRPr="003B65A2">
        <w:t>The method is computationally more demanding than some alternatives, though efficiency improves for time series reconstruction.</w:t>
      </w:r>
    </w:p>
    <w:p w14:paraId="67C939C4" w14:textId="18B90627" w:rsidR="005F7C7E" w:rsidRPr="003B65A2" w:rsidRDefault="005F7C7E">
      <w:pPr>
        <w:pStyle w:val="ReferenceTitle"/>
        <w:numPr>
          <w:ilvl w:val="0"/>
          <w:numId w:val="22"/>
        </w:numPr>
        <w:spacing w:line="276" w:lineRule="auto"/>
      </w:pPr>
      <w:r w:rsidRPr="003B65A2">
        <w:t>Broader validation and operationalization are needed for global, real-time applications.</w:t>
      </w:r>
    </w:p>
    <w:p w14:paraId="2DBA12C2" w14:textId="0D2DD7C5" w:rsidR="005F7C7E" w:rsidRPr="0038125B" w:rsidRDefault="005F7C7E">
      <w:pPr>
        <w:pStyle w:val="ReferenceTitle"/>
        <w:numPr>
          <w:ilvl w:val="0"/>
          <w:numId w:val="22"/>
        </w:numPr>
        <w:spacing w:line="276" w:lineRule="auto"/>
        <w:rPr>
          <w:b/>
          <w:bCs/>
          <w:highlight w:val="yellow"/>
        </w:rPr>
      </w:pPr>
      <w:r w:rsidRPr="0038125B">
        <w:rPr>
          <w:b/>
          <w:bCs/>
          <w:highlight w:val="yellow"/>
        </w:rPr>
        <w:t>Short-term abrupt changes with continuous dense gaps remain challenging to reconstruct accurately.</w:t>
      </w:r>
    </w:p>
    <w:p w14:paraId="566E6E4C" w14:textId="77777777" w:rsidR="005F7C7E" w:rsidRPr="003B65A2" w:rsidRDefault="005F7C7E" w:rsidP="005F7C7E">
      <w:pPr>
        <w:pStyle w:val="ReferenceTitle"/>
        <w:spacing w:line="276" w:lineRule="auto"/>
        <w:ind w:left="1080"/>
      </w:pPr>
      <w:r w:rsidRPr="003B65A2">
        <w:t>7. Conclusions and Future Work</w:t>
      </w:r>
    </w:p>
    <w:p w14:paraId="658A40EF" w14:textId="170E479B" w:rsidR="005F7C7E" w:rsidRPr="003B65A2" w:rsidRDefault="005F7C7E">
      <w:pPr>
        <w:pStyle w:val="ReferenceTitle"/>
        <w:numPr>
          <w:ilvl w:val="0"/>
          <w:numId w:val="23"/>
        </w:numPr>
        <w:spacing w:line="276" w:lineRule="auto"/>
      </w:pPr>
      <w:r w:rsidRPr="003B65A2">
        <w:t>The study presents a significant advance in reconstructing seamless daily NTL imagery, unlocking the full potential of VIIRS data for diverse applications.</w:t>
      </w:r>
    </w:p>
    <w:p w14:paraId="03E9FD2D" w14:textId="19DDC141" w:rsidR="005F7C7E" w:rsidRPr="003B65A2" w:rsidRDefault="005F7C7E">
      <w:pPr>
        <w:pStyle w:val="ReferenceTitle"/>
        <w:numPr>
          <w:ilvl w:val="0"/>
          <w:numId w:val="23"/>
        </w:numPr>
        <w:spacing w:line="276" w:lineRule="auto"/>
      </w:pPr>
      <w:r w:rsidRPr="003B65A2">
        <w:t>Future directions include optimizing computational efficiency, improving cloud detection (potentially with deep learning), and expanding applications of the gap-filled data.</w:t>
      </w:r>
    </w:p>
    <w:p w14:paraId="42A24D7C" w14:textId="77777777" w:rsidR="005F7C7E" w:rsidRPr="003B65A2" w:rsidRDefault="005F7C7E" w:rsidP="005F7C7E">
      <w:pPr>
        <w:pStyle w:val="ReferenceTitle"/>
        <w:spacing w:line="276" w:lineRule="auto"/>
        <w:ind w:left="1080"/>
      </w:pPr>
      <w:r w:rsidRPr="003B65A2">
        <w:t>Example Implementation:</w:t>
      </w:r>
    </w:p>
    <w:p w14:paraId="67837958" w14:textId="4D3E7B37" w:rsidR="005F7C7E" w:rsidRPr="003B65A2" w:rsidRDefault="005F7C7E">
      <w:pPr>
        <w:pStyle w:val="ReferenceTitle"/>
        <w:numPr>
          <w:ilvl w:val="0"/>
          <w:numId w:val="24"/>
        </w:numPr>
        <w:spacing w:line="276" w:lineRule="auto"/>
      </w:pPr>
      <w:r w:rsidRPr="003B65A2">
        <w:t>The method was able to reconstruct NTL images for Puerto Rico after Hurricane Maria, revealing spatial heterogeneity in recovery and matching official electricity data more closely than previous methods.</w:t>
      </w:r>
    </w:p>
    <w:p w14:paraId="472B5A3D" w14:textId="7109DDA9" w:rsidR="005F7C7E" w:rsidRPr="003B65A2" w:rsidRDefault="005F7C7E">
      <w:pPr>
        <w:pStyle w:val="ReferenceTitle"/>
        <w:numPr>
          <w:ilvl w:val="0"/>
          <w:numId w:val="24"/>
        </w:numPr>
        <w:spacing w:line="276" w:lineRule="auto"/>
      </w:pPr>
      <w:r w:rsidRPr="003B65A2">
        <w:t xml:space="preserve">In simulated scenarios, the method </w:t>
      </w:r>
      <w:r w:rsidRPr="00F433C1">
        <w:rPr>
          <w:b/>
          <w:bCs/>
          <w:highlight w:val="yellow"/>
        </w:rPr>
        <w:t xml:space="preserve">reduced bias in </w:t>
      </w:r>
      <w:proofErr w:type="gramStart"/>
      <w:r w:rsidRPr="00F433C1">
        <w:rPr>
          <w:b/>
          <w:bCs/>
          <w:highlight w:val="yellow"/>
        </w:rPr>
        <w:t>dimly-lit</w:t>
      </w:r>
      <w:proofErr w:type="gramEnd"/>
      <w:r w:rsidRPr="00F433C1">
        <w:rPr>
          <w:b/>
          <w:bCs/>
          <w:highlight w:val="yellow"/>
        </w:rPr>
        <w:t xml:space="preserve"> and </w:t>
      </w:r>
      <w:proofErr w:type="gramStart"/>
      <w:r w:rsidRPr="00F433C1">
        <w:rPr>
          <w:b/>
          <w:bCs/>
          <w:highlight w:val="yellow"/>
        </w:rPr>
        <w:t>brightly-lit</w:t>
      </w:r>
      <w:proofErr w:type="gramEnd"/>
      <w:r w:rsidRPr="00F433C1">
        <w:rPr>
          <w:b/>
          <w:bCs/>
          <w:highlight w:val="yellow"/>
        </w:rPr>
        <w:t xml:space="preserve"> areas by at least 50%</w:t>
      </w:r>
      <w:r w:rsidRPr="00F433C1">
        <w:rPr>
          <w:b/>
          <w:bCs/>
        </w:rPr>
        <w:t xml:space="preserve"> </w:t>
      </w:r>
      <w:r w:rsidRPr="003B65A2">
        <w:t>compared to other methods.</w:t>
      </w:r>
    </w:p>
    <w:p w14:paraId="4CDC0575" w14:textId="77777777" w:rsidR="005F7C7E" w:rsidRPr="003B65A2" w:rsidRDefault="005F7C7E" w:rsidP="005F7C7E">
      <w:pPr>
        <w:pStyle w:val="jot-list-item-element"/>
        <w:spacing w:before="0" w:beforeAutospacing="0" w:after="0" w:afterAutospacing="0" w:line="276" w:lineRule="auto"/>
        <w:ind w:left="1800"/>
        <w:rPr>
          <w:rFonts w:ascii="Arial" w:hAnsi="Arial" w:cs="Arial"/>
          <w:sz w:val="20"/>
          <w:szCs w:val="20"/>
        </w:rPr>
      </w:pPr>
    </w:p>
    <w:p w14:paraId="61A8D2EF" w14:textId="77777777" w:rsidR="005F7C7E" w:rsidRPr="003B65A2" w:rsidRDefault="005F7C7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Summary Table of Performance (from Table 1):</w:t>
      </w:r>
    </w:p>
    <w:tbl>
      <w:tblPr>
        <w:tblStyle w:val="TableGridLight"/>
        <w:tblW w:w="4404" w:type="pct"/>
        <w:tblInd w:w="1075" w:type="dxa"/>
        <w:tblLayout w:type="fixed"/>
        <w:tblLook w:val="04A0" w:firstRow="1" w:lastRow="0" w:firstColumn="1" w:lastColumn="0" w:noHBand="0" w:noVBand="1"/>
      </w:tblPr>
      <w:tblGrid>
        <w:gridCol w:w="1441"/>
        <w:gridCol w:w="1969"/>
        <w:gridCol w:w="2111"/>
        <w:gridCol w:w="2420"/>
      </w:tblGrid>
      <w:tr w:rsidR="005F7C7E" w:rsidRPr="003B65A2" w14:paraId="086F6D50" w14:textId="77777777" w:rsidTr="003B65A2">
        <w:tc>
          <w:tcPr>
            <w:tcW w:w="907" w:type="pct"/>
            <w:hideMark/>
          </w:tcPr>
          <w:p w14:paraId="24B1188E"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Scenario</w:t>
            </w:r>
          </w:p>
        </w:tc>
        <w:tc>
          <w:tcPr>
            <w:tcW w:w="1240" w:type="pct"/>
            <w:hideMark/>
          </w:tcPr>
          <w:p w14:paraId="3907D17C" w14:textId="47237432"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Our Method </w:t>
            </w:r>
            <w:r w:rsidR="003B65A2" w:rsidRPr="003B65A2">
              <w:rPr>
                <w:rFonts w:ascii="Arial" w:hAnsi="Arial" w:cs="Arial"/>
                <w:sz w:val="20"/>
                <w:szCs w:val="20"/>
              </w:rPr>
              <w:br/>
            </w:r>
            <w:r w:rsidRPr="003B65A2">
              <w:rPr>
                <w:rFonts w:ascii="Arial" w:hAnsi="Arial" w:cs="Arial"/>
                <w:sz w:val="20"/>
                <w:szCs w:val="20"/>
              </w:rPr>
              <w:t>(RMSE/R</w:t>
            </w:r>
            <w:r w:rsidRPr="003B65A2">
              <w:rPr>
                <w:rFonts w:ascii="Arial" w:hAnsi="Arial" w:cs="Arial"/>
                <w:sz w:val="20"/>
                <w:szCs w:val="20"/>
                <w:vertAlign w:val="superscript"/>
              </w:rPr>
              <w:t>2</w:t>
            </w:r>
            <w:r w:rsidRPr="003B65A2">
              <w:rPr>
                <w:rFonts w:ascii="Arial" w:hAnsi="Arial" w:cs="Arial"/>
                <w:sz w:val="20"/>
                <w:szCs w:val="20"/>
              </w:rPr>
              <w:t>)</w:t>
            </w:r>
          </w:p>
        </w:tc>
        <w:tc>
          <w:tcPr>
            <w:tcW w:w="2111" w:type="dxa"/>
            <w:hideMark/>
          </w:tcPr>
          <w:p w14:paraId="61A1689B"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CRYSTAL </w:t>
            </w:r>
          </w:p>
          <w:p w14:paraId="7BFC49FA" w14:textId="0836EA3D" w:rsidR="003B65A2" w:rsidRPr="003B65A2" w:rsidRDefault="003B65A2" w:rsidP="005F7C7E">
            <w:pPr>
              <w:spacing w:line="276" w:lineRule="auto"/>
              <w:rPr>
                <w:rFonts w:ascii="Arial" w:hAnsi="Arial" w:cs="Arial"/>
                <w:sz w:val="20"/>
                <w:szCs w:val="20"/>
              </w:rPr>
            </w:pPr>
            <w:r w:rsidRPr="003B65A2">
              <w:rPr>
                <w:rFonts w:ascii="Arial" w:hAnsi="Arial" w:cs="Arial"/>
                <w:sz w:val="20"/>
                <w:szCs w:val="20"/>
              </w:rPr>
              <w:t>(RMSE/R</w:t>
            </w:r>
            <w:r w:rsidRPr="003B65A2">
              <w:rPr>
                <w:rFonts w:ascii="Arial" w:hAnsi="Arial" w:cs="Arial"/>
                <w:sz w:val="20"/>
                <w:szCs w:val="20"/>
                <w:vertAlign w:val="superscript"/>
              </w:rPr>
              <w:t>2</w:t>
            </w:r>
            <w:r w:rsidRPr="003B65A2">
              <w:rPr>
                <w:rFonts w:ascii="Arial" w:hAnsi="Arial" w:cs="Arial"/>
                <w:sz w:val="20"/>
                <w:szCs w:val="20"/>
              </w:rPr>
              <w:t>)</w:t>
            </w:r>
          </w:p>
        </w:tc>
        <w:tc>
          <w:tcPr>
            <w:tcW w:w="2421" w:type="dxa"/>
            <w:hideMark/>
          </w:tcPr>
          <w:p w14:paraId="6D8F7D17"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Hao's Method</w:t>
            </w:r>
          </w:p>
          <w:p w14:paraId="18AEE40C" w14:textId="34BECE99" w:rsidR="003B65A2" w:rsidRPr="003B65A2" w:rsidRDefault="003B65A2" w:rsidP="005F7C7E">
            <w:pPr>
              <w:spacing w:line="276" w:lineRule="auto"/>
              <w:rPr>
                <w:rFonts w:ascii="Arial" w:hAnsi="Arial" w:cs="Arial"/>
                <w:sz w:val="20"/>
                <w:szCs w:val="20"/>
              </w:rPr>
            </w:pPr>
            <w:r w:rsidRPr="003B65A2">
              <w:rPr>
                <w:rFonts w:ascii="Arial" w:hAnsi="Arial" w:cs="Arial"/>
                <w:sz w:val="20"/>
                <w:szCs w:val="20"/>
              </w:rPr>
              <w:t>(RMSE/R</w:t>
            </w:r>
            <w:r w:rsidRPr="003B65A2">
              <w:rPr>
                <w:rFonts w:ascii="Arial" w:hAnsi="Arial" w:cs="Arial"/>
                <w:sz w:val="20"/>
                <w:szCs w:val="20"/>
                <w:vertAlign w:val="superscript"/>
              </w:rPr>
              <w:t>2</w:t>
            </w:r>
            <w:r w:rsidRPr="003B65A2">
              <w:rPr>
                <w:rFonts w:ascii="Arial" w:hAnsi="Arial" w:cs="Arial"/>
                <w:sz w:val="20"/>
                <w:szCs w:val="20"/>
              </w:rPr>
              <w:t>)</w:t>
            </w:r>
          </w:p>
        </w:tc>
      </w:tr>
      <w:tr w:rsidR="005F7C7E" w:rsidRPr="003B65A2" w14:paraId="67429662" w14:textId="77777777" w:rsidTr="003B65A2">
        <w:tc>
          <w:tcPr>
            <w:tcW w:w="907" w:type="pct"/>
            <w:hideMark/>
          </w:tcPr>
          <w:p w14:paraId="35C15E72"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Simple</w:t>
            </w:r>
          </w:p>
        </w:tc>
        <w:tc>
          <w:tcPr>
            <w:tcW w:w="1240" w:type="pct"/>
            <w:hideMark/>
          </w:tcPr>
          <w:p w14:paraId="565100B9"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9.44 / 0.85</w:t>
            </w:r>
          </w:p>
        </w:tc>
        <w:tc>
          <w:tcPr>
            <w:tcW w:w="2111" w:type="dxa"/>
            <w:hideMark/>
          </w:tcPr>
          <w:p w14:paraId="7C9593B8"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16.57 / 0.72</w:t>
            </w:r>
          </w:p>
        </w:tc>
        <w:tc>
          <w:tcPr>
            <w:tcW w:w="2421" w:type="dxa"/>
            <w:hideMark/>
          </w:tcPr>
          <w:p w14:paraId="1150E3DF"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19.85 / 0.66</w:t>
            </w:r>
          </w:p>
        </w:tc>
      </w:tr>
      <w:tr w:rsidR="005F7C7E" w:rsidRPr="003B65A2" w14:paraId="1A4114D2" w14:textId="77777777" w:rsidTr="003B65A2">
        <w:tc>
          <w:tcPr>
            <w:tcW w:w="907" w:type="pct"/>
            <w:hideMark/>
          </w:tcPr>
          <w:p w14:paraId="00902C89"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Abrupt</w:t>
            </w:r>
          </w:p>
        </w:tc>
        <w:tc>
          <w:tcPr>
            <w:tcW w:w="1240" w:type="pct"/>
            <w:hideMark/>
          </w:tcPr>
          <w:p w14:paraId="36092BB5"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2.13 / 0.82</w:t>
            </w:r>
          </w:p>
        </w:tc>
        <w:tc>
          <w:tcPr>
            <w:tcW w:w="2111" w:type="dxa"/>
            <w:hideMark/>
          </w:tcPr>
          <w:p w14:paraId="18DE917B"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3.61 / 0.65</w:t>
            </w:r>
          </w:p>
        </w:tc>
        <w:tc>
          <w:tcPr>
            <w:tcW w:w="2421" w:type="dxa"/>
            <w:hideMark/>
          </w:tcPr>
          <w:p w14:paraId="2D7FC8A4"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8.78 / 0.63</w:t>
            </w:r>
          </w:p>
        </w:tc>
      </w:tr>
      <w:tr w:rsidR="005F7C7E" w:rsidRPr="003B65A2" w14:paraId="6DDF45CF" w14:textId="77777777" w:rsidTr="003B65A2">
        <w:tc>
          <w:tcPr>
            <w:tcW w:w="907" w:type="pct"/>
            <w:hideMark/>
          </w:tcPr>
          <w:p w14:paraId="4DC87C94"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40% Cloud</w:t>
            </w:r>
          </w:p>
        </w:tc>
        <w:tc>
          <w:tcPr>
            <w:tcW w:w="1240" w:type="pct"/>
            <w:hideMark/>
          </w:tcPr>
          <w:p w14:paraId="1F600DC3"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10.84 / 0.80</w:t>
            </w:r>
          </w:p>
        </w:tc>
        <w:tc>
          <w:tcPr>
            <w:tcW w:w="2111" w:type="dxa"/>
            <w:hideMark/>
          </w:tcPr>
          <w:p w14:paraId="42FCBD11"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19.79 / 0.61</w:t>
            </w:r>
          </w:p>
        </w:tc>
        <w:tc>
          <w:tcPr>
            <w:tcW w:w="2421" w:type="dxa"/>
            <w:hideMark/>
          </w:tcPr>
          <w:p w14:paraId="74EE1D19"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20.99 / 0.57</w:t>
            </w:r>
          </w:p>
        </w:tc>
      </w:tr>
    </w:tbl>
    <w:p w14:paraId="1328B8E3" w14:textId="77777777" w:rsidR="005F7C7E" w:rsidRPr="003B65A2" w:rsidRDefault="005F7C7E" w:rsidP="005F7C7E">
      <w:pPr>
        <w:pStyle w:val="jot-paragraph-element"/>
        <w:spacing w:before="0" w:beforeAutospacing="0" w:after="0" w:afterAutospacing="0" w:line="276" w:lineRule="auto"/>
        <w:rPr>
          <w:rFonts w:ascii="Arial" w:hAnsi="Arial" w:cs="Arial"/>
          <w:sz w:val="20"/>
          <w:szCs w:val="20"/>
        </w:rPr>
      </w:pPr>
    </w:p>
    <w:p w14:paraId="4478B2A2" w14:textId="5A83C9DE" w:rsidR="00EA222E" w:rsidRPr="003B65A2" w:rsidRDefault="005F7C7E" w:rsidP="00AC1449">
      <w:pPr>
        <w:pStyle w:val="jot-paragraph-element"/>
        <w:spacing w:before="0" w:beforeAutospacing="0" w:after="0" w:afterAutospacing="0" w:line="276" w:lineRule="auto"/>
        <w:ind w:left="1080"/>
        <w:rPr>
          <w:rFonts w:ascii="Arial" w:hAnsi="Arial" w:cs="Arial"/>
          <w:sz w:val="20"/>
          <w:szCs w:val="20"/>
        </w:rPr>
      </w:pPr>
      <w:r w:rsidRPr="003B65A2">
        <w:rPr>
          <w:rFonts w:ascii="Arial" w:hAnsi="Arial" w:cs="Arial"/>
          <w:sz w:val="20"/>
          <w:szCs w:val="20"/>
        </w:rPr>
        <w:t>This summary captures the document's main findings, innovations, and implications for t</w:t>
      </w:r>
      <w:r w:rsidR="003B65A2" w:rsidRPr="003B65A2">
        <w:rPr>
          <w:rFonts w:ascii="Arial" w:hAnsi="Arial" w:cs="Arial"/>
          <w:sz w:val="20"/>
          <w:szCs w:val="20"/>
        </w:rPr>
        <w:t>h</w:t>
      </w:r>
      <w:r w:rsidRPr="003B65A2">
        <w:rPr>
          <w:rFonts w:ascii="Arial" w:hAnsi="Arial" w:cs="Arial"/>
          <w:sz w:val="20"/>
          <w:szCs w:val="20"/>
        </w:rPr>
        <w:t>e field of remote sensing and human activity monitoring.</w:t>
      </w:r>
    </w:p>
    <w:p w14:paraId="3F4F1A25" w14:textId="6D717E9D" w:rsidR="00A40AAE" w:rsidRDefault="00AC1449">
      <w:pPr>
        <w:pStyle w:val="ReferenceTitle"/>
        <w:numPr>
          <w:ilvl w:val="0"/>
          <w:numId w:val="15"/>
        </w:numPr>
      </w:pPr>
      <w:r w:rsidRPr="00AC1449">
        <w:lastRenderedPageBreak/>
        <w:t xml:space="preserve">Levin, N. (2025). </w:t>
      </w:r>
      <w:r w:rsidRPr="00AC1449">
        <w:rPr>
          <w:b/>
          <w:bCs/>
        </w:rPr>
        <w:t xml:space="preserve">Challenges in remote sensing of night lights – a research agenda for the next decade. </w:t>
      </w:r>
      <w:r w:rsidRPr="00AC1449">
        <w:t>Remote Sensing of Environment, 328</w:t>
      </w:r>
      <w:r>
        <w:t xml:space="preserve">, </w:t>
      </w:r>
      <w:hyperlink r:id="rId11" w:history="1">
        <w:r w:rsidRPr="002A2250">
          <w:rPr>
            <w:rStyle w:val="Hyperlink"/>
          </w:rPr>
          <w:t>https://doi.org/10.1016/j.rse.2025.114869</w:t>
        </w:r>
      </w:hyperlink>
      <w:r>
        <w:t xml:space="preserve"> </w:t>
      </w:r>
    </w:p>
    <w:p w14:paraId="1C2DFE6E" w14:textId="77777777" w:rsidR="00AC1449" w:rsidRDefault="00AC1449" w:rsidP="00AC1449">
      <w:pPr>
        <w:pStyle w:val="ReferenceTitle"/>
        <w:ind w:left="1080"/>
      </w:pPr>
    </w:p>
    <w:p w14:paraId="6FBE0FA8" w14:textId="3CA79B1D" w:rsidR="00AC1449" w:rsidRDefault="00AC1449" w:rsidP="00AC1449">
      <w:pPr>
        <w:pStyle w:val="ReferenceTitle"/>
        <w:ind w:left="1080"/>
      </w:pPr>
      <w:r>
        <w:t>This article presents a research agenda for advancing remote sensing of night lights over the next decade, focusing on five key challenges and demonstrating solutions using various sensors.</w:t>
      </w:r>
    </w:p>
    <w:p w14:paraId="696B92AB" w14:textId="77777777" w:rsidR="00AC1449" w:rsidRDefault="00AC1449" w:rsidP="00AC1449">
      <w:pPr>
        <w:pStyle w:val="ReferenceTitle"/>
        <w:ind w:left="1080"/>
      </w:pPr>
      <w:r>
        <w:t>Main Challenges Addressed</w:t>
      </w:r>
    </w:p>
    <w:p w14:paraId="5EE6A6E0" w14:textId="2F94ED82" w:rsidR="00AC1449" w:rsidRDefault="00AC1449">
      <w:pPr>
        <w:pStyle w:val="ReferenceTitle"/>
        <w:numPr>
          <w:ilvl w:val="0"/>
          <w:numId w:val="25"/>
        </w:numPr>
      </w:pPr>
      <w:r>
        <w:t>Challenge 1: Creating cloud masks for future night light missions using thermal imagery alongside visible bands.</w:t>
      </w:r>
    </w:p>
    <w:p w14:paraId="3E52F43D" w14:textId="23572B1F" w:rsidR="00AC1449" w:rsidRDefault="00AC1449">
      <w:pPr>
        <w:pStyle w:val="ReferenceTitle"/>
        <w:numPr>
          <w:ilvl w:val="1"/>
          <w:numId w:val="25"/>
        </w:numPr>
      </w:pPr>
      <w:r w:rsidRPr="00AC1449">
        <w:t xml:space="preserve">The methodology involved comparing two SDGSAT-1 images over southeast France: a cloud-free image (October 6, 2023) and a partly cloudy image (October 22, 2023). The thermal infrared spectrometer data was classified into 16 equal interval classes, with the 10 lower temperature classes identified as clouds to create a binary cloud </w:t>
      </w:r>
      <w:proofErr w:type="gramStart"/>
      <w:r w:rsidRPr="00AC1449">
        <w:t>mask .</w:t>
      </w:r>
      <w:proofErr w:type="gramEnd"/>
      <w:r w:rsidRPr="00AC1449">
        <w:t xml:space="preserve"> This revealed two cloud effects: thin clouds caused light scattering and urban glow, while thick clouds backscattered light downward, making areas appear dark from space.</w:t>
      </w:r>
    </w:p>
    <w:p w14:paraId="519CC9C6" w14:textId="111E9582" w:rsidR="00AC1449" w:rsidRDefault="00AC1449">
      <w:pPr>
        <w:pStyle w:val="ReferenceTitle"/>
        <w:numPr>
          <w:ilvl w:val="0"/>
          <w:numId w:val="25"/>
        </w:numPr>
      </w:pPr>
      <w:r>
        <w:t xml:space="preserve">Challenge 2: Monitoring hourly changes in night lights using ground-based </w:t>
      </w:r>
      <w:proofErr w:type="spellStart"/>
      <w:r>
        <w:t>LANcube</w:t>
      </w:r>
      <w:proofErr w:type="spellEnd"/>
      <w:r>
        <w:t xml:space="preserve"> photometers and webcams, revealing patterns like stadium lights turning off and reduced lighting during Jewish holy days.</w:t>
      </w:r>
    </w:p>
    <w:p w14:paraId="23B3DE7A" w14:textId="223C5C91" w:rsidR="00AC1449" w:rsidRDefault="00AC1449">
      <w:pPr>
        <w:pStyle w:val="ReferenceTitle"/>
        <w:numPr>
          <w:ilvl w:val="1"/>
          <w:numId w:val="25"/>
        </w:numPr>
      </w:pPr>
      <w:r>
        <w:t xml:space="preserve"> </w:t>
      </w:r>
      <w:proofErr w:type="spellStart"/>
      <w:r>
        <w:t>LANcube</w:t>
      </w:r>
      <w:proofErr w:type="spellEnd"/>
      <w:r>
        <w:t xml:space="preserve"> approach: Used two photometers measuring light in five directions (upward, backward, forward, left, right) along Jerusalem routes at four time periods (21:15, 22:15, 23:15, 00:15). Semi-rectangular polygons were created every 50m along routes for spatial comparison, with statistical analysis using Welch t-</w:t>
      </w:r>
      <w:proofErr w:type="gramStart"/>
      <w:r>
        <w:t>tests .</w:t>
      </w:r>
      <w:proofErr w:type="gramEnd"/>
    </w:p>
    <w:p w14:paraId="52FC6D60" w14:textId="53876753" w:rsidR="00AC1449" w:rsidRDefault="00AC1449">
      <w:pPr>
        <w:pStyle w:val="ReferenceTitle"/>
        <w:numPr>
          <w:ilvl w:val="1"/>
          <w:numId w:val="25"/>
        </w:numPr>
      </w:pPr>
      <w:r>
        <w:t>Webcam methodology: Analyzed 28 nights of 10-minute interval images from a Jerusalem webcam, summing RGB values in 12 regions of interest representing different light sources, comparing weekdays versus Jewish holy days.</w:t>
      </w:r>
    </w:p>
    <w:p w14:paraId="06F58813" w14:textId="40013990" w:rsidR="00AC1449" w:rsidRDefault="00AC1449">
      <w:pPr>
        <w:pStyle w:val="ReferenceTitle"/>
        <w:numPr>
          <w:ilvl w:val="0"/>
          <w:numId w:val="25"/>
        </w:numPr>
      </w:pPr>
      <w:r>
        <w:t xml:space="preserve">Challenge 3: Fusing data from satellites with different overpass times (SDGSAT-1 at 21:30 and VIIRS/DNB at 01:30) to detect </w:t>
      </w:r>
      <w:proofErr w:type="gramStart"/>
      <w:r>
        <w:t>street light</w:t>
      </w:r>
      <w:proofErr w:type="gramEnd"/>
      <w:r>
        <w:t xml:space="preserve"> turn-off policies in French villages after midnight.</w:t>
      </w:r>
    </w:p>
    <w:p w14:paraId="4CF3B5B5" w14:textId="5AECA41C" w:rsidR="00AC1449" w:rsidRPr="00AC1449" w:rsidRDefault="00AC1449">
      <w:pPr>
        <w:pStyle w:val="NormalWeb"/>
        <w:numPr>
          <w:ilvl w:val="1"/>
          <w:numId w:val="25"/>
        </w:numPr>
        <w:spacing w:before="0" w:beforeAutospacing="0" w:after="0" w:afterAutospacing="0"/>
        <w:rPr>
          <w:rFonts w:ascii="Arial" w:hAnsi="Arial" w:cs="Arial"/>
          <w:color w:val="1F1F1F"/>
          <w:sz w:val="20"/>
          <w:szCs w:val="20"/>
        </w:rPr>
      </w:pPr>
      <w:r w:rsidRPr="00AC1449">
        <w:rPr>
          <w:rFonts w:ascii="Arial" w:hAnsi="Arial" w:cs="Arial"/>
          <w:color w:val="1F1F1F"/>
          <w:sz w:val="20"/>
          <w:szCs w:val="20"/>
        </w:rPr>
        <w:t xml:space="preserve">Combined VIIRS/DNB (01:30 overpass) and SDGSAT-1 (21:30 overpass) data to detect French </w:t>
      </w:r>
      <w:proofErr w:type="gramStart"/>
      <w:r w:rsidRPr="00AC1449">
        <w:rPr>
          <w:rFonts w:ascii="Arial" w:hAnsi="Arial" w:cs="Arial"/>
          <w:color w:val="1F1F1F"/>
          <w:sz w:val="20"/>
          <w:szCs w:val="20"/>
        </w:rPr>
        <w:t>street light</w:t>
      </w:r>
      <w:proofErr w:type="gramEnd"/>
      <w:r w:rsidRPr="00AC1449">
        <w:rPr>
          <w:rFonts w:ascii="Arial" w:hAnsi="Arial" w:cs="Arial"/>
          <w:color w:val="1F1F1F"/>
          <w:sz w:val="20"/>
          <w:szCs w:val="20"/>
        </w:rPr>
        <w:t xml:space="preserve"> policies</w:t>
      </w:r>
      <w:r w:rsidRPr="00AC1449">
        <w:rPr>
          <w:rStyle w:val="apple-converted-space"/>
          <w:rFonts w:ascii="Arial" w:hAnsi="Arial" w:cs="Arial"/>
          <w:color w:val="1F1F1F"/>
          <w:sz w:val="20"/>
          <w:szCs w:val="20"/>
        </w:rPr>
        <w:t> </w:t>
      </w:r>
      <w:r w:rsidRPr="00AC1449">
        <w:rPr>
          <w:rFonts w:ascii="Arial" w:hAnsi="Arial" w:cs="Arial"/>
          <w:color w:val="1F1F1F"/>
          <w:sz w:val="20"/>
          <w:szCs w:val="20"/>
        </w:rPr>
        <w:t>6. Used normalized difference indices between 2021-2023 VIIRS data:</w:t>
      </w:r>
      <w:r w:rsidRPr="00AC1449">
        <w:rPr>
          <w:rStyle w:val="apple-converted-space"/>
          <w:rFonts w:ascii="Arial" w:hAnsi="Arial" w:cs="Arial"/>
          <w:color w:val="1F1F1F"/>
          <w:sz w:val="20"/>
          <w:szCs w:val="20"/>
        </w:rPr>
        <w:t> </w:t>
      </w:r>
      <m:oMath>
        <m:d>
          <m:dPr>
            <m:ctrlPr>
              <w:rPr>
                <w:rFonts w:ascii="Cambria Math" w:hAnsi="Cambria Math" w:cs="Arial"/>
                <w:sz w:val="20"/>
                <w:szCs w:val="20"/>
              </w:rPr>
            </m:ctrlPr>
          </m:dPr>
          <m:e>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2023</m:t>
                </m:r>
              </m:sub>
            </m:sSub>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2021</m:t>
                </m:r>
              </m:sub>
            </m:sSub>
          </m:e>
        </m:d>
        <m:r>
          <w:rPr>
            <w:rFonts w:ascii="Cambria Math" w:hAnsi="Cambria Math" w:cs="Arial"/>
            <w:sz w:val="20"/>
            <w:szCs w:val="20"/>
          </w:rPr>
          <m:t>/</m:t>
        </m:r>
        <m:d>
          <m:dPr>
            <m:ctrlPr>
              <w:rPr>
                <w:rFonts w:ascii="Cambria Math" w:hAnsi="Cambria Math" w:cs="Arial"/>
                <w:sz w:val="20"/>
                <w:szCs w:val="20"/>
              </w:rPr>
            </m:ctrlPr>
          </m:dPr>
          <m:e>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2023</m:t>
                </m:r>
              </m:sub>
            </m:sSub>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2021</m:t>
                </m:r>
              </m:sub>
            </m:sSub>
          </m:e>
        </m:d>
      </m:oMath>
      <w:r w:rsidRPr="00AC1449">
        <w:rPr>
          <w:rFonts w:ascii="Arial" w:hAnsi="Arial" w:cs="Arial"/>
          <w:color w:val="1F1F1F"/>
          <w:sz w:val="20"/>
          <w:szCs w:val="20"/>
        </w:rPr>
        <w:t>7. Applied Mann-Kendall trend analysis on monthly time series to identify statistically significant changes</w:t>
      </w:r>
      <w:r>
        <w:rPr>
          <w:rFonts w:ascii="Arial" w:hAnsi="Arial" w:cs="Arial"/>
          <w:color w:val="1F1F1F"/>
          <w:sz w:val="20"/>
          <w:szCs w:val="20"/>
        </w:rPr>
        <w:t>.</w:t>
      </w:r>
    </w:p>
    <w:p w14:paraId="1471FDE6" w14:textId="3AD5DA3E" w:rsidR="00AC1449" w:rsidRDefault="00AC1449">
      <w:pPr>
        <w:pStyle w:val="ReferenceTitle"/>
        <w:numPr>
          <w:ilvl w:val="0"/>
          <w:numId w:val="25"/>
        </w:numPr>
      </w:pPr>
      <w:r>
        <w:lastRenderedPageBreak/>
        <w:t>Challenge 4: Estimating blue light emissions, showing atmospheric scattering affects measurements differently between ground-based and spaceborne sensors.</w:t>
      </w:r>
    </w:p>
    <w:p w14:paraId="257F878F" w14:textId="0585D331" w:rsidR="00AC1449" w:rsidRDefault="00AC1449">
      <w:pPr>
        <w:pStyle w:val="ReferenceTitle"/>
        <w:numPr>
          <w:ilvl w:val="1"/>
          <w:numId w:val="25"/>
        </w:numPr>
      </w:pPr>
      <w:r w:rsidRPr="00AC1449">
        <w:t xml:space="preserve">Multi-sensor approach: Combined SVC-HR1024 field spectrometer measurements, </w:t>
      </w:r>
      <w:proofErr w:type="spellStart"/>
      <w:r w:rsidRPr="00AC1449">
        <w:t>LANcube</w:t>
      </w:r>
      <w:proofErr w:type="spellEnd"/>
      <w:r w:rsidRPr="00AC1449">
        <w:t xml:space="preserve"> mobile measurements, and SDGSAT-1 satellite data 89. Analyzed urban surface reflectance using </w:t>
      </w:r>
      <w:proofErr w:type="spellStart"/>
      <w:r w:rsidRPr="00AC1449">
        <w:t>PlanetScope</w:t>
      </w:r>
      <w:proofErr w:type="spellEnd"/>
      <w:r w:rsidRPr="00AC1449">
        <w:t xml:space="preserve"> images with unsupervised classification, finding blue band reflectance typically below 10% in urban areas 10. Conducted before/after analysis of HPS to LED transitions along Highway #1 between Tel-Aviv and Jerusalem.</w:t>
      </w:r>
    </w:p>
    <w:p w14:paraId="74260E7C" w14:textId="2B380EC2" w:rsidR="00AC1449" w:rsidRDefault="00AC1449">
      <w:pPr>
        <w:pStyle w:val="ReferenceTitle"/>
        <w:numPr>
          <w:ilvl w:val="0"/>
          <w:numId w:val="25"/>
        </w:numPr>
      </w:pPr>
      <w:r>
        <w:t>Challenge 5: Quantifying anisotropy using UAV panoramic imagery to understand how viewing angles affect light source observations.</w:t>
      </w:r>
    </w:p>
    <w:p w14:paraId="68D54EB9" w14:textId="2505FA59" w:rsidR="00AC1449" w:rsidRDefault="00AC1449">
      <w:pPr>
        <w:pStyle w:val="ReferenceTitle"/>
        <w:numPr>
          <w:ilvl w:val="1"/>
          <w:numId w:val="25"/>
        </w:numPr>
      </w:pPr>
      <w:r w:rsidRPr="00AC1449">
        <w:t>Used DJI Mavic Air 2 drone to capture 360° panoramic views from 16 individual photos at heights of 100m and 150m 12. Generated 8192×</w:t>
      </w:r>
      <w:proofErr w:type="gramStart"/>
      <w:r w:rsidRPr="00AC1449">
        <w:t>4096 pixel</w:t>
      </w:r>
      <w:proofErr w:type="gramEnd"/>
      <w:r w:rsidRPr="00AC1449">
        <w:t xml:space="preserve"> panoramas to examine how viewing angles and building obstruction affect light source visibility. Compared images at different heights to assess three-dimensional urban structure effects on light measurements</w:t>
      </w:r>
    </w:p>
    <w:p w14:paraId="53D57360" w14:textId="77777777" w:rsidR="00AC1449" w:rsidRDefault="00AC1449" w:rsidP="00AC1449">
      <w:pPr>
        <w:pStyle w:val="ReferenceTitle"/>
        <w:ind w:left="2520"/>
      </w:pPr>
    </w:p>
    <w:p w14:paraId="22003F84" w14:textId="44B2B286" w:rsidR="00AC1449" w:rsidRPr="003B65A2" w:rsidRDefault="00AC1449" w:rsidP="00AC1449">
      <w:pPr>
        <w:pStyle w:val="ReferenceTitle"/>
        <w:ind w:left="1080"/>
      </w:pPr>
      <w:r>
        <w:t>The study concludes that fusing data from different sensors with unique spatial, spectral, temporal, and directional capabilities can significantly advance our understanding of nighttime human activities and progress toward UN Sustainable Development Goals.</w:t>
      </w:r>
    </w:p>
    <w:p w14:paraId="7078282A" w14:textId="77777777" w:rsidR="00283EDC" w:rsidRPr="003B65A2" w:rsidRDefault="00283EDC" w:rsidP="00283EDC">
      <w:pPr>
        <w:rPr>
          <w:rFonts w:ascii="Arial" w:hAnsi="Arial" w:cs="Arial"/>
          <w:color w:val="000000" w:themeColor="text1"/>
          <w:sz w:val="20"/>
          <w:szCs w:val="20"/>
        </w:rPr>
      </w:pPr>
    </w:p>
    <w:p w14:paraId="08926DDD" w14:textId="1FBDBBA7" w:rsidR="006C2667" w:rsidRPr="006C2667" w:rsidRDefault="006C2667">
      <w:pPr>
        <w:pStyle w:val="ListParagraph"/>
        <w:numPr>
          <w:ilvl w:val="0"/>
          <w:numId w:val="15"/>
        </w:numPr>
        <w:rPr>
          <w:rFonts w:ascii="Arial" w:hAnsi="Arial" w:cs="Arial"/>
          <w:color w:val="000000" w:themeColor="text1"/>
          <w:sz w:val="20"/>
          <w:szCs w:val="20"/>
        </w:rPr>
      </w:pPr>
      <w:r w:rsidRPr="006C2667">
        <w:rPr>
          <w:rFonts w:ascii="Arial" w:hAnsi="Arial" w:cs="Arial"/>
          <w:color w:val="000000" w:themeColor="text1"/>
          <w:sz w:val="20"/>
          <w:szCs w:val="20"/>
        </w:rPr>
        <w:t xml:space="preserve">Friedrich, H.K., Aggarwal, E., Buijs, S.L., Chakraborty, S., Hall, C.A., Hu, Y., &amp; Tellman, B. (2026). </w:t>
      </w:r>
      <w:r w:rsidRPr="006C2667">
        <w:rPr>
          <w:rFonts w:ascii="Arial" w:hAnsi="Arial" w:cs="Arial"/>
          <w:b/>
          <w:bCs/>
          <w:color w:val="000000" w:themeColor="text1"/>
          <w:sz w:val="20"/>
          <w:szCs w:val="20"/>
        </w:rPr>
        <w:t>Satellite earth observation for recovery from hydrometeorological hazards</w:t>
      </w:r>
      <w:r w:rsidRPr="006C2667">
        <w:rPr>
          <w:rFonts w:ascii="Arial" w:hAnsi="Arial" w:cs="Arial"/>
          <w:color w:val="000000" w:themeColor="text1"/>
          <w:sz w:val="20"/>
          <w:szCs w:val="20"/>
        </w:rPr>
        <w:t>. Water Security, 28</w:t>
      </w:r>
      <w:r>
        <w:rPr>
          <w:rFonts w:ascii="Arial" w:hAnsi="Arial" w:cs="Arial"/>
          <w:color w:val="000000" w:themeColor="text1"/>
          <w:sz w:val="20"/>
          <w:szCs w:val="20"/>
        </w:rPr>
        <w:t xml:space="preserve">, </w:t>
      </w:r>
      <w:hyperlink r:id="rId12" w:history="1">
        <w:r w:rsidRPr="002A2250">
          <w:rPr>
            <w:rStyle w:val="Hyperlink"/>
            <w:rFonts w:ascii="Arial" w:hAnsi="Arial" w:cs="Arial"/>
            <w:sz w:val="20"/>
            <w:szCs w:val="20"/>
          </w:rPr>
          <w:t>https://doi.org/10.1016/j.wasec.2026.100205</w:t>
        </w:r>
      </w:hyperlink>
      <w:r>
        <w:rPr>
          <w:rFonts w:ascii="Arial" w:hAnsi="Arial" w:cs="Arial"/>
          <w:color w:val="000000" w:themeColor="text1"/>
          <w:sz w:val="20"/>
          <w:szCs w:val="20"/>
        </w:rPr>
        <w:t xml:space="preserve"> </w:t>
      </w:r>
    </w:p>
    <w:p w14:paraId="748D7B51" w14:textId="54F27255" w:rsidR="006C2667" w:rsidRPr="006C2667" w:rsidRDefault="006C2667" w:rsidP="006C2667">
      <w:pPr>
        <w:ind w:left="1080"/>
        <w:rPr>
          <w:rFonts w:ascii="Arial" w:hAnsi="Arial" w:cs="Arial"/>
          <w:color w:val="000000" w:themeColor="text1"/>
          <w:sz w:val="20"/>
          <w:szCs w:val="20"/>
        </w:rPr>
      </w:pPr>
      <w:r w:rsidRPr="006C2667">
        <w:rPr>
          <w:rFonts w:ascii="Arial" w:hAnsi="Arial" w:cs="Arial"/>
          <w:color w:val="000000" w:themeColor="text1"/>
          <w:sz w:val="20"/>
          <w:szCs w:val="20"/>
        </w:rPr>
        <w:t>This article examines how satellite Earth Observation (EO) can monitor recovery from hydrometeorological hazards like floods and hurricanes. The authors present a typology of five recovery heuristics: physical, qualitative, functional, resilience-relative, and risk-relative recovery.</w:t>
      </w:r>
    </w:p>
    <w:p w14:paraId="72C0CFEE" w14:textId="77777777" w:rsidR="006C2667" w:rsidRPr="006C2667" w:rsidRDefault="006C2667" w:rsidP="006C2667">
      <w:pPr>
        <w:ind w:left="1080"/>
        <w:rPr>
          <w:rFonts w:ascii="Arial" w:hAnsi="Arial" w:cs="Arial"/>
          <w:color w:val="000000" w:themeColor="text1"/>
          <w:sz w:val="20"/>
          <w:szCs w:val="20"/>
        </w:rPr>
      </w:pPr>
      <w:r w:rsidRPr="006C2667">
        <w:rPr>
          <w:rFonts w:ascii="Arial" w:hAnsi="Arial" w:cs="Arial"/>
          <w:color w:val="000000" w:themeColor="text1"/>
          <w:sz w:val="20"/>
          <w:szCs w:val="20"/>
        </w:rPr>
        <w:t>Key Findings</w:t>
      </w:r>
    </w:p>
    <w:p w14:paraId="69F5C0E3" w14:textId="75B89697" w:rsidR="006C2667"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EO Applications: Four main features are mapped for recovery monitoring: land cover/land use, vegetation/agriculture, electricity (via nighttime lights), and built infrastructure. Nighttime lights provide high-frequency monitoring of power outages as recovery proxies.</w:t>
      </w:r>
    </w:p>
    <w:p w14:paraId="13F5C62B" w14:textId="0773A958" w:rsidR="006C2667"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Integration Challenges: While EO effectively captures physical changes, integrating non-EO data sources remains inconsistent. This limits assessments of functional intent, resilience, and risk-based recovery components.</w:t>
      </w:r>
    </w:p>
    <w:p w14:paraId="56C02335" w14:textId="69EB6396" w:rsidR="006C2667"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 xml:space="preserve">Multi-hazard Gaps: Current applications focus on single hazards rather than compound or cascading events. The authors identify this as a critical frontier given increasing climate </w:t>
      </w:r>
      <w:proofErr w:type="gramStart"/>
      <w:r w:rsidRPr="006C2667">
        <w:rPr>
          <w:rFonts w:ascii="Arial" w:hAnsi="Arial" w:cs="Arial"/>
          <w:color w:val="000000" w:themeColor="text1"/>
          <w:sz w:val="20"/>
          <w:szCs w:val="20"/>
        </w:rPr>
        <w:t>risks</w:t>
      </w:r>
      <w:proofErr w:type="gramEnd"/>
      <w:r w:rsidRPr="006C2667">
        <w:rPr>
          <w:rFonts w:ascii="Arial" w:hAnsi="Arial" w:cs="Arial"/>
          <w:color w:val="000000" w:themeColor="text1"/>
          <w:sz w:val="20"/>
          <w:szCs w:val="20"/>
        </w:rPr>
        <w:t>.</w:t>
      </w:r>
    </w:p>
    <w:p w14:paraId="127B051F" w14:textId="1F47D50A" w:rsidR="00283EDC"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Future Directions: The study emphasizes expanding integration of EO with non-EO data to achieve more contextual recovery measures, particularly for multi-hazard events that pose compounding risks.</w:t>
      </w:r>
    </w:p>
    <w:p w14:paraId="123E7B50" w14:textId="77777777" w:rsidR="00283EDC" w:rsidRPr="003B65A2" w:rsidRDefault="00283EDC" w:rsidP="00283EDC">
      <w:pPr>
        <w:rPr>
          <w:rFonts w:ascii="Arial" w:hAnsi="Arial" w:cs="Arial"/>
          <w:color w:val="000000" w:themeColor="text1"/>
          <w:sz w:val="20"/>
          <w:szCs w:val="20"/>
        </w:rPr>
      </w:pPr>
    </w:p>
    <w:p w14:paraId="55A1281B" w14:textId="77777777" w:rsidR="00283EDC" w:rsidRPr="003B65A2" w:rsidRDefault="00283EDC" w:rsidP="00283EDC">
      <w:pPr>
        <w:rPr>
          <w:rFonts w:ascii="Arial" w:hAnsi="Arial" w:cs="Arial"/>
          <w:color w:val="000000" w:themeColor="text1"/>
          <w:sz w:val="20"/>
          <w:szCs w:val="20"/>
        </w:rPr>
      </w:pPr>
    </w:p>
    <w:p w14:paraId="029927FD" w14:textId="77777777" w:rsidR="00283EDC" w:rsidRPr="003B65A2" w:rsidRDefault="00283EDC" w:rsidP="00283EDC">
      <w:pPr>
        <w:rPr>
          <w:rFonts w:ascii="Arial" w:hAnsi="Arial" w:cs="Arial"/>
          <w:color w:val="000000" w:themeColor="text1"/>
          <w:sz w:val="20"/>
          <w:szCs w:val="20"/>
        </w:rPr>
      </w:pPr>
    </w:p>
    <w:p w14:paraId="35C30509" w14:textId="77777777" w:rsidR="00283EDC" w:rsidRPr="003B65A2" w:rsidRDefault="00283EDC" w:rsidP="00283EDC">
      <w:pPr>
        <w:rPr>
          <w:rFonts w:ascii="Arial" w:hAnsi="Arial" w:cs="Arial"/>
          <w:color w:val="000000" w:themeColor="text1"/>
          <w:sz w:val="20"/>
          <w:szCs w:val="20"/>
        </w:rPr>
      </w:pPr>
    </w:p>
    <w:sectPr w:rsidR="00283EDC" w:rsidRPr="003B65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B67F96" w14:textId="77777777" w:rsidR="001078C4" w:rsidRDefault="001078C4" w:rsidP="004833D3">
      <w:pPr>
        <w:spacing w:after="0" w:line="240" w:lineRule="auto"/>
      </w:pPr>
      <w:r>
        <w:separator/>
      </w:r>
    </w:p>
  </w:endnote>
  <w:endnote w:type="continuationSeparator" w:id="0">
    <w:p w14:paraId="4DD01C6F" w14:textId="77777777" w:rsidR="001078C4" w:rsidRDefault="001078C4" w:rsidP="00483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7FEF22" w14:textId="77777777" w:rsidR="001078C4" w:rsidRDefault="001078C4" w:rsidP="004833D3">
      <w:pPr>
        <w:spacing w:after="0" w:line="240" w:lineRule="auto"/>
      </w:pPr>
      <w:r>
        <w:separator/>
      </w:r>
    </w:p>
  </w:footnote>
  <w:footnote w:type="continuationSeparator" w:id="0">
    <w:p w14:paraId="3A87792E" w14:textId="77777777" w:rsidR="001078C4" w:rsidRDefault="001078C4" w:rsidP="00483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7BC4AE7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A34B81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0F2735"/>
    <w:multiLevelType w:val="hybridMultilevel"/>
    <w:tmpl w:val="8C0E8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15A5C"/>
    <w:multiLevelType w:val="hybridMultilevel"/>
    <w:tmpl w:val="89BA0B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976C8D"/>
    <w:multiLevelType w:val="multilevel"/>
    <w:tmpl w:val="653C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B6AF5"/>
    <w:multiLevelType w:val="hybridMultilevel"/>
    <w:tmpl w:val="8B0CCC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FA7931"/>
    <w:multiLevelType w:val="hybridMultilevel"/>
    <w:tmpl w:val="22346EC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E07785A"/>
    <w:multiLevelType w:val="multilevel"/>
    <w:tmpl w:val="B78C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E6382"/>
    <w:multiLevelType w:val="hybridMultilevel"/>
    <w:tmpl w:val="62F272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14A5D"/>
    <w:multiLevelType w:val="hybridMultilevel"/>
    <w:tmpl w:val="EF680B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BE4727"/>
    <w:multiLevelType w:val="hybridMultilevel"/>
    <w:tmpl w:val="990A7E4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A9F1AEF"/>
    <w:multiLevelType w:val="hybridMultilevel"/>
    <w:tmpl w:val="01F46CF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B0869D8"/>
    <w:multiLevelType w:val="hybridMultilevel"/>
    <w:tmpl w:val="8D6E2F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C7F0C3C"/>
    <w:multiLevelType w:val="hybridMultilevel"/>
    <w:tmpl w:val="528EA13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14C33BE"/>
    <w:multiLevelType w:val="multilevel"/>
    <w:tmpl w:val="8F70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F6848"/>
    <w:multiLevelType w:val="hybridMultilevel"/>
    <w:tmpl w:val="DE54E7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8C5EEA"/>
    <w:multiLevelType w:val="hybridMultilevel"/>
    <w:tmpl w:val="FB1C29E2"/>
    <w:lvl w:ilvl="0" w:tplc="0409000F">
      <w:start w:val="1"/>
      <w:numFmt w:val="decimal"/>
      <w:lvlText w:val="%1."/>
      <w:lvlJc w:val="left"/>
      <w:pPr>
        <w:ind w:left="2160" w:hanging="360"/>
      </w:pPr>
      <w:rPr>
        <w:rFonts w:hint="default"/>
        <w:color w:val="000000" w:themeColor="text1"/>
      </w:rPr>
    </w:lvl>
    <w:lvl w:ilvl="1" w:tplc="FFFFFFFF">
      <w:start w:val="1"/>
      <w:numFmt w:val="bullet"/>
      <w:lvlText w:val="o"/>
      <w:lvlJc w:val="left"/>
      <w:pPr>
        <w:ind w:left="3960" w:hanging="360"/>
      </w:pPr>
      <w:rPr>
        <w:rFonts w:ascii="Courier New" w:hAnsi="Courier New" w:hint="default"/>
      </w:rPr>
    </w:lvl>
    <w:lvl w:ilvl="2" w:tplc="FFFFFFFF">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17" w15:restartNumberingAfterBreak="0">
    <w:nsid w:val="4B7E5B61"/>
    <w:multiLevelType w:val="hybridMultilevel"/>
    <w:tmpl w:val="C3A2A4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1993045"/>
    <w:multiLevelType w:val="hybridMultilevel"/>
    <w:tmpl w:val="E2A6A4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2D90C5E"/>
    <w:multiLevelType w:val="hybridMultilevel"/>
    <w:tmpl w:val="6A665F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B9A6968"/>
    <w:multiLevelType w:val="hybridMultilevel"/>
    <w:tmpl w:val="0D26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7820FE"/>
    <w:multiLevelType w:val="hybridMultilevel"/>
    <w:tmpl w:val="E8B61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7C41CA"/>
    <w:multiLevelType w:val="multilevel"/>
    <w:tmpl w:val="6C0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87B58"/>
    <w:multiLevelType w:val="hybridMultilevel"/>
    <w:tmpl w:val="893640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BE56F6B"/>
    <w:multiLevelType w:val="hybridMultilevel"/>
    <w:tmpl w:val="63C6FBDA"/>
    <w:lvl w:ilvl="0" w:tplc="14F6A612">
      <w:start w:val="1"/>
      <w:numFmt w:val="upperRoman"/>
      <w:lvlText w:val="%1."/>
      <w:lvlJc w:val="left"/>
      <w:pPr>
        <w:ind w:left="1080" w:hanging="720"/>
      </w:pPr>
      <w:rPr>
        <w:rFonts w:hint="default"/>
        <w:color w:val="000000" w:themeColor="text1"/>
      </w:rPr>
    </w:lvl>
    <w:lvl w:ilvl="1" w:tplc="D3B69906">
      <w:numFmt w:val="bullet"/>
      <w:lvlText w:val="•"/>
      <w:lvlJc w:val="left"/>
      <w:pPr>
        <w:ind w:left="1440" w:hanging="360"/>
      </w:pPr>
      <w:rPr>
        <w:rFonts w:ascii="Arial" w:eastAsiaTheme="majorEastAsia" w:hAnsi="Arial" w:cs="Arial" w:hint="default"/>
      </w:rPr>
    </w:lvl>
    <w:lvl w:ilvl="2" w:tplc="6E8448F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130AA"/>
    <w:multiLevelType w:val="hybridMultilevel"/>
    <w:tmpl w:val="709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8B018B"/>
    <w:multiLevelType w:val="hybridMultilevel"/>
    <w:tmpl w:val="BE38E9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40356934">
    <w:abstractNumId w:val="8"/>
  </w:num>
  <w:num w:numId="2" w16cid:durableId="1782726945">
    <w:abstractNumId w:val="1"/>
  </w:num>
  <w:num w:numId="3" w16cid:durableId="1666323828">
    <w:abstractNumId w:val="0"/>
  </w:num>
  <w:num w:numId="4" w16cid:durableId="1142381954">
    <w:abstractNumId w:val="2"/>
  </w:num>
  <w:num w:numId="5" w16cid:durableId="274482900">
    <w:abstractNumId w:val="9"/>
  </w:num>
  <w:num w:numId="6" w16cid:durableId="1478953833">
    <w:abstractNumId w:val="26"/>
  </w:num>
  <w:num w:numId="7" w16cid:durableId="1759866222">
    <w:abstractNumId w:val="21"/>
  </w:num>
  <w:num w:numId="8" w16cid:durableId="1319266487">
    <w:abstractNumId w:val="15"/>
  </w:num>
  <w:num w:numId="9" w16cid:durableId="297493802">
    <w:abstractNumId w:val="5"/>
  </w:num>
  <w:num w:numId="10" w16cid:durableId="1229615924">
    <w:abstractNumId w:val="20"/>
  </w:num>
  <w:num w:numId="11" w16cid:durableId="1774204836">
    <w:abstractNumId w:val="14"/>
  </w:num>
  <w:num w:numId="12" w16cid:durableId="513998911">
    <w:abstractNumId w:val="22"/>
  </w:num>
  <w:num w:numId="13" w16cid:durableId="1637906607">
    <w:abstractNumId w:val="7"/>
  </w:num>
  <w:num w:numId="14" w16cid:durableId="1982533314">
    <w:abstractNumId w:val="4"/>
  </w:num>
  <w:num w:numId="15" w16cid:durableId="273947552">
    <w:abstractNumId w:val="24"/>
  </w:num>
  <w:num w:numId="16" w16cid:durableId="419259914">
    <w:abstractNumId w:val="19"/>
  </w:num>
  <w:num w:numId="17" w16cid:durableId="1755935042">
    <w:abstractNumId w:val="11"/>
  </w:num>
  <w:num w:numId="18" w16cid:durableId="357967705">
    <w:abstractNumId w:val="10"/>
  </w:num>
  <w:num w:numId="19" w16cid:durableId="2104643772">
    <w:abstractNumId w:val="16"/>
  </w:num>
  <w:num w:numId="20" w16cid:durableId="745492236">
    <w:abstractNumId w:val="13"/>
  </w:num>
  <w:num w:numId="21" w16cid:durableId="1716469832">
    <w:abstractNumId w:val="17"/>
  </w:num>
  <w:num w:numId="22" w16cid:durableId="1705250948">
    <w:abstractNumId w:val="12"/>
  </w:num>
  <w:num w:numId="23" w16cid:durableId="796142831">
    <w:abstractNumId w:val="3"/>
  </w:num>
  <w:num w:numId="24" w16cid:durableId="2041856563">
    <w:abstractNumId w:val="23"/>
  </w:num>
  <w:num w:numId="25" w16cid:durableId="1677492113">
    <w:abstractNumId w:val="6"/>
  </w:num>
  <w:num w:numId="26" w16cid:durableId="563030934">
    <w:abstractNumId w:val="18"/>
  </w:num>
  <w:num w:numId="27" w16cid:durableId="757486836">
    <w:abstractNumId w:val="25"/>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2C0"/>
    <w:rsid w:val="00023DF0"/>
    <w:rsid w:val="00024AE0"/>
    <w:rsid w:val="0002516D"/>
    <w:rsid w:val="000425D4"/>
    <w:rsid w:val="00090EAC"/>
    <w:rsid w:val="00093309"/>
    <w:rsid w:val="000C3476"/>
    <w:rsid w:val="000C5285"/>
    <w:rsid w:val="000F6325"/>
    <w:rsid w:val="001078C4"/>
    <w:rsid w:val="00120304"/>
    <w:rsid w:val="00155CB9"/>
    <w:rsid w:val="00160E01"/>
    <w:rsid w:val="00171A4B"/>
    <w:rsid w:val="00177727"/>
    <w:rsid w:val="00194979"/>
    <w:rsid w:val="001A4E5D"/>
    <w:rsid w:val="001B1C37"/>
    <w:rsid w:val="001C0953"/>
    <w:rsid w:val="001E4743"/>
    <w:rsid w:val="001F180C"/>
    <w:rsid w:val="00231BEE"/>
    <w:rsid w:val="00236FC8"/>
    <w:rsid w:val="002472C0"/>
    <w:rsid w:val="0024748F"/>
    <w:rsid w:val="002639DA"/>
    <w:rsid w:val="002719A6"/>
    <w:rsid w:val="00283EDC"/>
    <w:rsid w:val="00290101"/>
    <w:rsid w:val="002A3133"/>
    <w:rsid w:val="002A46BB"/>
    <w:rsid w:val="002A5E53"/>
    <w:rsid w:val="002B0DD2"/>
    <w:rsid w:val="002C7FDB"/>
    <w:rsid w:val="002D387F"/>
    <w:rsid w:val="002F4A01"/>
    <w:rsid w:val="002F6031"/>
    <w:rsid w:val="003135C8"/>
    <w:rsid w:val="00317F5C"/>
    <w:rsid w:val="003341E3"/>
    <w:rsid w:val="00363C76"/>
    <w:rsid w:val="00366D72"/>
    <w:rsid w:val="0038125B"/>
    <w:rsid w:val="0038486D"/>
    <w:rsid w:val="00392CDF"/>
    <w:rsid w:val="003B65A2"/>
    <w:rsid w:val="003B7E05"/>
    <w:rsid w:val="003C2533"/>
    <w:rsid w:val="003C777D"/>
    <w:rsid w:val="003E0D84"/>
    <w:rsid w:val="003F6F85"/>
    <w:rsid w:val="0040082C"/>
    <w:rsid w:val="004029D9"/>
    <w:rsid w:val="00403F2A"/>
    <w:rsid w:val="004143D7"/>
    <w:rsid w:val="00452D71"/>
    <w:rsid w:val="00456167"/>
    <w:rsid w:val="00483187"/>
    <w:rsid w:val="004833D3"/>
    <w:rsid w:val="00491EB4"/>
    <w:rsid w:val="00494460"/>
    <w:rsid w:val="004A5F9E"/>
    <w:rsid w:val="004B7EE5"/>
    <w:rsid w:val="004C55AC"/>
    <w:rsid w:val="004E0647"/>
    <w:rsid w:val="004F380D"/>
    <w:rsid w:val="005103DF"/>
    <w:rsid w:val="00520A89"/>
    <w:rsid w:val="00523EB9"/>
    <w:rsid w:val="0053419F"/>
    <w:rsid w:val="00547EB8"/>
    <w:rsid w:val="00575BF6"/>
    <w:rsid w:val="00576513"/>
    <w:rsid w:val="005820A7"/>
    <w:rsid w:val="005870F7"/>
    <w:rsid w:val="005902E5"/>
    <w:rsid w:val="005910E8"/>
    <w:rsid w:val="005A32C3"/>
    <w:rsid w:val="005F7C7E"/>
    <w:rsid w:val="00607EE5"/>
    <w:rsid w:val="0061378D"/>
    <w:rsid w:val="006331E8"/>
    <w:rsid w:val="006362B4"/>
    <w:rsid w:val="0065542D"/>
    <w:rsid w:val="00656B03"/>
    <w:rsid w:val="00682D3F"/>
    <w:rsid w:val="00693E05"/>
    <w:rsid w:val="006A60E2"/>
    <w:rsid w:val="006B1C21"/>
    <w:rsid w:val="006C2667"/>
    <w:rsid w:val="006C2EF6"/>
    <w:rsid w:val="006C5F39"/>
    <w:rsid w:val="006C66C8"/>
    <w:rsid w:val="006E4648"/>
    <w:rsid w:val="00704931"/>
    <w:rsid w:val="00746FE9"/>
    <w:rsid w:val="00746FFA"/>
    <w:rsid w:val="00761E7E"/>
    <w:rsid w:val="00763F42"/>
    <w:rsid w:val="00765937"/>
    <w:rsid w:val="00783DF7"/>
    <w:rsid w:val="007858CD"/>
    <w:rsid w:val="00793AB4"/>
    <w:rsid w:val="00794AAA"/>
    <w:rsid w:val="00797AA2"/>
    <w:rsid w:val="007B55D6"/>
    <w:rsid w:val="007E0CB1"/>
    <w:rsid w:val="007F790A"/>
    <w:rsid w:val="008171A4"/>
    <w:rsid w:val="00847E70"/>
    <w:rsid w:val="008876A7"/>
    <w:rsid w:val="008D48DF"/>
    <w:rsid w:val="008E4CE6"/>
    <w:rsid w:val="008F2D4E"/>
    <w:rsid w:val="00912979"/>
    <w:rsid w:val="009420B4"/>
    <w:rsid w:val="00962999"/>
    <w:rsid w:val="009670DF"/>
    <w:rsid w:val="009900FF"/>
    <w:rsid w:val="009A35B8"/>
    <w:rsid w:val="009A46E4"/>
    <w:rsid w:val="009B044A"/>
    <w:rsid w:val="009B362E"/>
    <w:rsid w:val="009B5519"/>
    <w:rsid w:val="009B610D"/>
    <w:rsid w:val="009B6EC7"/>
    <w:rsid w:val="009B7106"/>
    <w:rsid w:val="009C70B6"/>
    <w:rsid w:val="009F53D4"/>
    <w:rsid w:val="00A176B2"/>
    <w:rsid w:val="00A22D71"/>
    <w:rsid w:val="00A37B8A"/>
    <w:rsid w:val="00A40AAE"/>
    <w:rsid w:val="00A4463C"/>
    <w:rsid w:val="00A644E5"/>
    <w:rsid w:val="00A70259"/>
    <w:rsid w:val="00A80145"/>
    <w:rsid w:val="00A81B1E"/>
    <w:rsid w:val="00A92508"/>
    <w:rsid w:val="00A97D36"/>
    <w:rsid w:val="00AB0823"/>
    <w:rsid w:val="00AC1449"/>
    <w:rsid w:val="00AC4734"/>
    <w:rsid w:val="00AC66E5"/>
    <w:rsid w:val="00AD2E00"/>
    <w:rsid w:val="00AE61E1"/>
    <w:rsid w:val="00AF51EF"/>
    <w:rsid w:val="00B1111E"/>
    <w:rsid w:val="00B3166D"/>
    <w:rsid w:val="00B405C2"/>
    <w:rsid w:val="00B81085"/>
    <w:rsid w:val="00B96683"/>
    <w:rsid w:val="00BA71FB"/>
    <w:rsid w:val="00BD0C64"/>
    <w:rsid w:val="00BD1278"/>
    <w:rsid w:val="00BD4BF1"/>
    <w:rsid w:val="00BD665A"/>
    <w:rsid w:val="00C25508"/>
    <w:rsid w:val="00C43160"/>
    <w:rsid w:val="00C65B5C"/>
    <w:rsid w:val="00C67332"/>
    <w:rsid w:val="00C8260C"/>
    <w:rsid w:val="00C85324"/>
    <w:rsid w:val="00C97C46"/>
    <w:rsid w:val="00CA6E52"/>
    <w:rsid w:val="00CB6EA6"/>
    <w:rsid w:val="00CC2D7A"/>
    <w:rsid w:val="00CC31BA"/>
    <w:rsid w:val="00CD5EE5"/>
    <w:rsid w:val="00CF7DB7"/>
    <w:rsid w:val="00D1012A"/>
    <w:rsid w:val="00D534D1"/>
    <w:rsid w:val="00D702DB"/>
    <w:rsid w:val="00D87CEC"/>
    <w:rsid w:val="00D945FB"/>
    <w:rsid w:val="00DA14DB"/>
    <w:rsid w:val="00DA2E93"/>
    <w:rsid w:val="00DB2536"/>
    <w:rsid w:val="00DB56AA"/>
    <w:rsid w:val="00DC0445"/>
    <w:rsid w:val="00DC44F6"/>
    <w:rsid w:val="00E034D2"/>
    <w:rsid w:val="00E0486D"/>
    <w:rsid w:val="00E1176B"/>
    <w:rsid w:val="00E2352B"/>
    <w:rsid w:val="00E24A44"/>
    <w:rsid w:val="00E73810"/>
    <w:rsid w:val="00E73972"/>
    <w:rsid w:val="00EA080D"/>
    <w:rsid w:val="00EA0B7D"/>
    <w:rsid w:val="00EA222E"/>
    <w:rsid w:val="00EA2D72"/>
    <w:rsid w:val="00EB5D11"/>
    <w:rsid w:val="00EC69F5"/>
    <w:rsid w:val="00ED290F"/>
    <w:rsid w:val="00EE3424"/>
    <w:rsid w:val="00EF084A"/>
    <w:rsid w:val="00F00244"/>
    <w:rsid w:val="00F060F9"/>
    <w:rsid w:val="00F15A34"/>
    <w:rsid w:val="00F20F93"/>
    <w:rsid w:val="00F433C1"/>
    <w:rsid w:val="00F57EB6"/>
    <w:rsid w:val="00F67D62"/>
    <w:rsid w:val="00F711D4"/>
    <w:rsid w:val="00F776D1"/>
    <w:rsid w:val="00F8319F"/>
    <w:rsid w:val="00F85CB9"/>
    <w:rsid w:val="00FD1D3E"/>
    <w:rsid w:val="00FE1C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49684"/>
  <w15:chartTrackingRefBased/>
  <w15:docId w15:val="{C646C41A-6DF0-5145-81E1-4ECCB0F51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2C0"/>
    <w:rPr>
      <w:rFonts w:eastAsiaTheme="majorEastAsia" w:cstheme="majorBidi"/>
      <w:color w:val="272727" w:themeColor="text1" w:themeTint="D8"/>
    </w:rPr>
  </w:style>
  <w:style w:type="paragraph" w:styleId="Title">
    <w:name w:val="Title"/>
    <w:basedOn w:val="Normal"/>
    <w:next w:val="Normal"/>
    <w:link w:val="TitleChar"/>
    <w:uiPriority w:val="10"/>
    <w:qFormat/>
    <w:rsid w:val="0024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2C0"/>
    <w:pPr>
      <w:spacing w:before="160"/>
      <w:jc w:val="center"/>
    </w:pPr>
    <w:rPr>
      <w:i/>
      <w:iCs/>
      <w:color w:val="404040" w:themeColor="text1" w:themeTint="BF"/>
    </w:rPr>
  </w:style>
  <w:style w:type="character" w:customStyle="1" w:styleId="QuoteChar">
    <w:name w:val="Quote Char"/>
    <w:basedOn w:val="DefaultParagraphFont"/>
    <w:link w:val="Quote"/>
    <w:uiPriority w:val="29"/>
    <w:rsid w:val="002472C0"/>
    <w:rPr>
      <w:i/>
      <w:iCs/>
      <w:color w:val="404040" w:themeColor="text1" w:themeTint="BF"/>
    </w:rPr>
  </w:style>
  <w:style w:type="paragraph" w:styleId="ListParagraph">
    <w:name w:val="List Paragraph"/>
    <w:basedOn w:val="Normal"/>
    <w:uiPriority w:val="34"/>
    <w:qFormat/>
    <w:rsid w:val="002472C0"/>
    <w:pPr>
      <w:ind w:left="720"/>
      <w:contextualSpacing/>
    </w:pPr>
  </w:style>
  <w:style w:type="character" w:styleId="IntenseEmphasis">
    <w:name w:val="Intense Emphasis"/>
    <w:basedOn w:val="DefaultParagraphFont"/>
    <w:uiPriority w:val="21"/>
    <w:qFormat/>
    <w:rsid w:val="002472C0"/>
    <w:rPr>
      <w:i/>
      <w:iCs/>
      <w:color w:val="0F4761" w:themeColor="accent1" w:themeShade="BF"/>
    </w:rPr>
  </w:style>
  <w:style w:type="paragraph" w:styleId="IntenseQuote">
    <w:name w:val="Intense Quote"/>
    <w:basedOn w:val="Normal"/>
    <w:next w:val="Normal"/>
    <w:link w:val="IntenseQuoteChar"/>
    <w:uiPriority w:val="30"/>
    <w:qFormat/>
    <w:rsid w:val="00247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2C0"/>
    <w:rPr>
      <w:i/>
      <w:iCs/>
      <w:color w:val="0F4761" w:themeColor="accent1" w:themeShade="BF"/>
    </w:rPr>
  </w:style>
  <w:style w:type="character" w:styleId="IntenseReference">
    <w:name w:val="Intense Reference"/>
    <w:basedOn w:val="DefaultParagraphFont"/>
    <w:uiPriority w:val="32"/>
    <w:qFormat/>
    <w:rsid w:val="002472C0"/>
    <w:rPr>
      <w:b/>
      <w:bCs/>
      <w:smallCaps/>
      <w:color w:val="0F4761" w:themeColor="accent1" w:themeShade="BF"/>
      <w:spacing w:val="5"/>
    </w:rPr>
  </w:style>
  <w:style w:type="paragraph" w:styleId="NormalWeb">
    <w:name w:val="Normal (Web)"/>
    <w:basedOn w:val="Normal"/>
    <w:uiPriority w:val="99"/>
    <w:unhideWhenUsed/>
    <w:rsid w:val="002472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83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3D3"/>
  </w:style>
  <w:style w:type="paragraph" w:styleId="Footer">
    <w:name w:val="footer"/>
    <w:basedOn w:val="Normal"/>
    <w:link w:val="FooterChar"/>
    <w:uiPriority w:val="99"/>
    <w:unhideWhenUsed/>
    <w:rsid w:val="00483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3D3"/>
  </w:style>
  <w:style w:type="table" w:styleId="TableGrid">
    <w:name w:val="Table Grid"/>
    <w:basedOn w:val="TableNormal"/>
    <w:uiPriority w:val="59"/>
    <w:rsid w:val="004833D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37B8A"/>
    <w:pPr>
      <w:numPr>
        <w:numId w:val="2"/>
      </w:numPr>
      <w:tabs>
        <w:tab w:val="clear" w:pos="360"/>
      </w:tabs>
      <w:spacing w:after="120" w:line="259" w:lineRule="auto"/>
      <w:ind w:left="0" w:firstLine="0"/>
      <w:contextualSpacing/>
    </w:pPr>
    <w:rPr>
      <w:rFonts w:ascii="Arial" w:eastAsia="Arial" w:hAnsi="Arial"/>
      <w:kern w:val="0"/>
      <w:sz w:val="20"/>
      <w:szCs w:val="22"/>
      <w:lang w:val="en-US"/>
      <w14:ligatures w14:val="none"/>
    </w:rPr>
  </w:style>
  <w:style w:type="paragraph" w:styleId="ListNumber">
    <w:name w:val="List Number"/>
    <w:basedOn w:val="Normal"/>
    <w:uiPriority w:val="99"/>
    <w:unhideWhenUsed/>
    <w:rsid w:val="00A37B8A"/>
    <w:pPr>
      <w:numPr>
        <w:numId w:val="3"/>
      </w:numPr>
      <w:tabs>
        <w:tab w:val="clear" w:pos="360"/>
      </w:tabs>
      <w:spacing w:after="120" w:line="259" w:lineRule="auto"/>
      <w:ind w:left="0" w:firstLine="0"/>
      <w:contextualSpacing/>
    </w:pPr>
    <w:rPr>
      <w:rFonts w:ascii="Arial" w:eastAsia="Arial" w:hAnsi="Arial"/>
      <w:kern w:val="0"/>
      <w:sz w:val="20"/>
      <w:szCs w:val="22"/>
      <w:lang w:val="en-US"/>
      <w14:ligatures w14:val="none"/>
    </w:rPr>
  </w:style>
  <w:style w:type="paragraph" w:styleId="TOCHeading">
    <w:name w:val="TOC Heading"/>
    <w:basedOn w:val="Heading1"/>
    <w:next w:val="Normal"/>
    <w:uiPriority w:val="39"/>
    <w:unhideWhenUsed/>
    <w:qFormat/>
    <w:rsid w:val="00290101"/>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290101"/>
    <w:pPr>
      <w:spacing w:before="120" w:after="0"/>
      <w:ind w:left="240"/>
    </w:pPr>
    <w:rPr>
      <w:b/>
      <w:bCs/>
      <w:sz w:val="22"/>
      <w:szCs w:val="22"/>
    </w:rPr>
  </w:style>
  <w:style w:type="paragraph" w:styleId="TOC1">
    <w:name w:val="toc 1"/>
    <w:basedOn w:val="Normal"/>
    <w:next w:val="Normal"/>
    <w:autoRedefine/>
    <w:uiPriority w:val="39"/>
    <w:unhideWhenUsed/>
    <w:rsid w:val="00290101"/>
    <w:pPr>
      <w:spacing w:before="120" w:after="0"/>
    </w:pPr>
    <w:rPr>
      <w:b/>
      <w:bCs/>
      <w:i/>
      <w:iCs/>
    </w:rPr>
  </w:style>
  <w:style w:type="character" w:styleId="Hyperlink">
    <w:name w:val="Hyperlink"/>
    <w:basedOn w:val="DefaultParagraphFont"/>
    <w:uiPriority w:val="99"/>
    <w:unhideWhenUsed/>
    <w:rsid w:val="00290101"/>
    <w:rPr>
      <w:color w:val="467886" w:themeColor="hyperlink"/>
      <w:u w:val="single"/>
    </w:rPr>
  </w:style>
  <w:style w:type="paragraph" w:styleId="TOC3">
    <w:name w:val="toc 3"/>
    <w:basedOn w:val="Normal"/>
    <w:next w:val="Normal"/>
    <w:autoRedefine/>
    <w:uiPriority w:val="39"/>
    <w:semiHidden/>
    <w:unhideWhenUsed/>
    <w:rsid w:val="00290101"/>
    <w:pPr>
      <w:spacing w:after="0"/>
      <w:ind w:left="480"/>
    </w:pPr>
    <w:rPr>
      <w:sz w:val="20"/>
      <w:szCs w:val="20"/>
    </w:rPr>
  </w:style>
  <w:style w:type="paragraph" w:styleId="TOC4">
    <w:name w:val="toc 4"/>
    <w:basedOn w:val="Normal"/>
    <w:next w:val="Normal"/>
    <w:autoRedefine/>
    <w:uiPriority w:val="39"/>
    <w:semiHidden/>
    <w:unhideWhenUsed/>
    <w:rsid w:val="00290101"/>
    <w:pPr>
      <w:spacing w:after="0"/>
      <w:ind w:left="720"/>
    </w:pPr>
    <w:rPr>
      <w:sz w:val="20"/>
      <w:szCs w:val="20"/>
    </w:rPr>
  </w:style>
  <w:style w:type="paragraph" w:styleId="TOC5">
    <w:name w:val="toc 5"/>
    <w:basedOn w:val="Normal"/>
    <w:next w:val="Normal"/>
    <w:autoRedefine/>
    <w:uiPriority w:val="39"/>
    <w:semiHidden/>
    <w:unhideWhenUsed/>
    <w:rsid w:val="00290101"/>
    <w:pPr>
      <w:spacing w:after="0"/>
      <w:ind w:left="960"/>
    </w:pPr>
    <w:rPr>
      <w:sz w:val="20"/>
      <w:szCs w:val="20"/>
    </w:rPr>
  </w:style>
  <w:style w:type="paragraph" w:styleId="TOC6">
    <w:name w:val="toc 6"/>
    <w:basedOn w:val="Normal"/>
    <w:next w:val="Normal"/>
    <w:autoRedefine/>
    <w:uiPriority w:val="39"/>
    <w:semiHidden/>
    <w:unhideWhenUsed/>
    <w:rsid w:val="00290101"/>
    <w:pPr>
      <w:spacing w:after="0"/>
      <w:ind w:left="1200"/>
    </w:pPr>
    <w:rPr>
      <w:sz w:val="20"/>
      <w:szCs w:val="20"/>
    </w:rPr>
  </w:style>
  <w:style w:type="paragraph" w:styleId="TOC7">
    <w:name w:val="toc 7"/>
    <w:basedOn w:val="Normal"/>
    <w:next w:val="Normal"/>
    <w:autoRedefine/>
    <w:uiPriority w:val="39"/>
    <w:semiHidden/>
    <w:unhideWhenUsed/>
    <w:rsid w:val="00290101"/>
    <w:pPr>
      <w:spacing w:after="0"/>
      <w:ind w:left="1440"/>
    </w:pPr>
    <w:rPr>
      <w:sz w:val="20"/>
      <w:szCs w:val="20"/>
    </w:rPr>
  </w:style>
  <w:style w:type="paragraph" w:styleId="TOC8">
    <w:name w:val="toc 8"/>
    <w:basedOn w:val="Normal"/>
    <w:next w:val="Normal"/>
    <w:autoRedefine/>
    <w:uiPriority w:val="39"/>
    <w:semiHidden/>
    <w:unhideWhenUsed/>
    <w:rsid w:val="00290101"/>
    <w:pPr>
      <w:spacing w:after="0"/>
      <w:ind w:left="1680"/>
    </w:pPr>
    <w:rPr>
      <w:sz w:val="20"/>
      <w:szCs w:val="20"/>
    </w:rPr>
  </w:style>
  <w:style w:type="paragraph" w:styleId="TOC9">
    <w:name w:val="toc 9"/>
    <w:basedOn w:val="Normal"/>
    <w:next w:val="Normal"/>
    <w:autoRedefine/>
    <w:uiPriority w:val="39"/>
    <w:semiHidden/>
    <w:unhideWhenUsed/>
    <w:rsid w:val="00290101"/>
    <w:pPr>
      <w:spacing w:after="0"/>
      <w:ind w:left="1920"/>
    </w:pPr>
    <w:rPr>
      <w:sz w:val="20"/>
      <w:szCs w:val="20"/>
    </w:rPr>
  </w:style>
  <w:style w:type="paragraph" w:customStyle="1" w:styleId="jot-paragraph-element">
    <w:name w:val="jot-paragraph-element"/>
    <w:basedOn w:val="Normal"/>
    <w:rsid w:val="00A40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A40AAE"/>
    <w:rPr>
      <w:b/>
      <w:bCs/>
    </w:rPr>
  </w:style>
  <w:style w:type="paragraph" w:customStyle="1" w:styleId="jot-list-item-element">
    <w:name w:val="jot-list-item-element"/>
    <w:basedOn w:val="Normal"/>
    <w:rsid w:val="00A40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ReferenceTitle">
    <w:name w:val="Reference Title"/>
    <w:basedOn w:val="Heading1"/>
    <w:qFormat/>
    <w:rsid w:val="00A40AAE"/>
    <w:pPr>
      <w:spacing w:before="0" w:after="0"/>
    </w:pPr>
    <w:rPr>
      <w:rFonts w:ascii="Arial" w:hAnsi="Arial" w:cs="Arial"/>
      <w:color w:val="000000" w:themeColor="text1"/>
      <w:sz w:val="20"/>
      <w:szCs w:val="20"/>
      <w:lang w:val="en-US"/>
    </w:rPr>
  </w:style>
  <w:style w:type="character" w:styleId="UnresolvedMention">
    <w:name w:val="Unresolved Mention"/>
    <w:basedOn w:val="DefaultParagraphFont"/>
    <w:uiPriority w:val="99"/>
    <w:semiHidden/>
    <w:unhideWhenUsed/>
    <w:rsid w:val="00A40AAE"/>
    <w:rPr>
      <w:color w:val="605E5C"/>
      <w:shd w:val="clear" w:color="auto" w:fill="E1DFDD"/>
    </w:rPr>
  </w:style>
  <w:style w:type="character" w:styleId="FollowedHyperlink">
    <w:name w:val="FollowedHyperlink"/>
    <w:basedOn w:val="DefaultParagraphFont"/>
    <w:uiPriority w:val="99"/>
    <w:semiHidden/>
    <w:unhideWhenUsed/>
    <w:rsid w:val="005F7C7E"/>
    <w:rPr>
      <w:color w:val="96607D" w:themeColor="followedHyperlink"/>
      <w:u w:val="single"/>
    </w:rPr>
  </w:style>
  <w:style w:type="table" w:styleId="PlainTable1">
    <w:name w:val="Plain Table 1"/>
    <w:basedOn w:val="TableNormal"/>
    <w:uiPriority w:val="41"/>
    <w:rsid w:val="005F7C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F7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AC1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1885-024-00152-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wasec.2026.1002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rse.2025.114869" TargetMode="External"/><Relationship Id="rId5" Type="http://schemas.openxmlformats.org/officeDocument/2006/relationships/webSettings" Target="webSettings.xml"/><Relationship Id="rId10" Type="http://schemas.openxmlformats.org/officeDocument/2006/relationships/hyperlink" Target="https://doi.org/10.1016/j.rse.2026.115328" TargetMode="External"/><Relationship Id="rId4" Type="http://schemas.openxmlformats.org/officeDocument/2006/relationships/settings" Target="settings.xml"/><Relationship Id="rId9" Type="http://schemas.openxmlformats.org/officeDocument/2006/relationships/hyperlink" Target="https://doi.org/10.1016/j.jenvman.2021.11277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758C7-3A3E-C345-84C2-BECEB5C1BA43}">
  <ds:schemaRefs>
    <ds:schemaRef ds:uri="http://schemas.openxmlformats.org/officeDocument/2006/bibliography"/>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228</TotalTime>
  <Pages>8</Pages>
  <Words>3347</Words>
  <Characters>19082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Principe</dc:creator>
  <cp:keywords/>
  <dc:description/>
  <cp:lastModifiedBy>Rene Jr Principe</cp:lastModifiedBy>
  <cp:revision>100</cp:revision>
  <dcterms:created xsi:type="dcterms:W3CDTF">2026-07-01T06:31:00Z</dcterms:created>
  <dcterms:modified xsi:type="dcterms:W3CDTF">2026-08-04T05:49:00Z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BEBC6F4D-BB02-4FAE-AF19-BA84628E2291</vt:lpwstr>
  </property>
</Properties>
</file>