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DA613C" w14:textId="4414558D" w:rsidR="00856A47" w:rsidRPr="00540A03" w:rsidRDefault="009E37BA" w:rsidP="008D4334">
      <w:pPr>
        <w:pStyle w:val="Title"/>
        <w:pBdr>
          <w:bottom w:val="single" w:sz="8" w:space="11" w:color="4F81BD" w:themeColor="accent1"/>
        </w:pBdr>
        <w:rPr>
          <w:rFonts w:ascii="Arial" w:hAnsi="Arial" w:cs="Arial"/>
          <w:color w:val="000000" w:themeColor="text1"/>
          <w:sz w:val="36"/>
          <w:szCs w:val="36"/>
        </w:rPr>
      </w:pPr>
      <w:r w:rsidRPr="00540A03">
        <w:rPr>
          <w:rFonts w:ascii="Arial" w:hAnsi="Arial" w:cs="Arial"/>
          <w:color w:val="000000" w:themeColor="text1"/>
          <w:sz w:val="36"/>
          <w:szCs w:val="36"/>
        </w:rPr>
        <w:t xml:space="preserve">Review of Related Literature: </w:t>
      </w:r>
      <w:r w:rsidR="00DF1384" w:rsidRPr="00540A03">
        <w:rPr>
          <w:rFonts w:ascii="Arial" w:hAnsi="Arial" w:cs="Arial"/>
          <w:color w:val="000000" w:themeColor="text1"/>
          <w:sz w:val="36"/>
          <w:szCs w:val="36"/>
        </w:rPr>
        <w:br/>
      </w:r>
      <w:r w:rsidRPr="00540A03">
        <w:rPr>
          <w:rFonts w:ascii="Arial" w:hAnsi="Arial" w:cs="Arial"/>
          <w:color w:val="000000" w:themeColor="text1"/>
          <w:sz w:val="36"/>
          <w:szCs w:val="36"/>
        </w:rPr>
        <w:t xml:space="preserve">Nighttime Lights for Disaster Impact and Recovery </w:t>
      </w:r>
    </w:p>
    <w:p w14:paraId="3827CC99" w14:textId="72B3E6C3" w:rsidR="00605BB6" w:rsidRPr="00CE7CCE" w:rsidRDefault="009E37BA" w:rsidP="008D4334">
      <w:pPr>
        <w:spacing w:line="240" w:lineRule="auto"/>
        <w:rPr>
          <w:rFonts w:ascii="Arial" w:hAnsi="Arial" w:cs="Arial"/>
        </w:rPr>
      </w:pPr>
      <w:r w:rsidRPr="00DF1384">
        <w:rPr>
          <w:rFonts w:ascii="Arial" w:hAnsi="Arial" w:cs="Arial"/>
        </w:rPr>
        <w:t>The review treats nighttime lights as a proxy family rather than a single universal recovery measure. This framing follows the logic of post-disaster proxy research: remote sensing can observe physical or functional traces of recovery, but the meaning of those traces depends on the hazard, the settlement context, the sensor, the observation conditions, and the validation evidence. The emphasis is therefore placed on transferable concepts, methodological assumptions, data limitations, and the specific conditions under which daily VIIRS Black Marble may support recovery inference in cloud-impacted tropical regions.</w:t>
      </w:r>
    </w:p>
    <w:p w14:paraId="7C46D40A" w14:textId="5A0F4256" w:rsidR="00605BB6" w:rsidRPr="0002445C" w:rsidRDefault="00605BB6" w:rsidP="008D4334">
      <w:pPr>
        <w:pStyle w:val="Heading1"/>
        <w:spacing w:line="240" w:lineRule="auto"/>
        <w:rPr>
          <w:rFonts w:ascii="Arial" w:hAnsi="Arial" w:cs="Arial"/>
          <w:color w:val="000000" w:themeColor="text1"/>
          <w:sz w:val="28"/>
        </w:rPr>
      </w:pPr>
      <w:r w:rsidRPr="0002445C">
        <w:rPr>
          <w:rFonts w:ascii="Arial" w:hAnsi="Arial" w:cs="Arial"/>
          <w:color w:val="000000" w:themeColor="text1"/>
          <w:sz w:val="28"/>
        </w:rPr>
        <w:t>Chapte</w:t>
      </w:r>
      <w:r w:rsidR="0002445C" w:rsidRPr="0002445C">
        <w:rPr>
          <w:rFonts w:ascii="Arial" w:hAnsi="Arial" w:cs="Arial"/>
          <w:color w:val="000000" w:themeColor="text1"/>
          <w:sz w:val="28"/>
        </w:rPr>
        <w:t xml:space="preserve">r </w:t>
      </w:r>
      <w:r w:rsidR="0081319E">
        <w:rPr>
          <w:rFonts w:ascii="Arial" w:hAnsi="Arial" w:cs="Arial"/>
          <w:color w:val="000000" w:themeColor="text1"/>
          <w:sz w:val="28"/>
        </w:rPr>
        <w:t xml:space="preserve">1: </w:t>
      </w:r>
      <w:r w:rsidRPr="0002445C">
        <w:rPr>
          <w:rFonts w:ascii="Arial" w:hAnsi="Arial" w:cs="Arial"/>
          <w:color w:val="000000" w:themeColor="text1"/>
          <w:sz w:val="28"/>
        </w:rPr>
        <w:t>Foundational concepts for Philippine disaster recovery and nighttime lights research</w:t>
      </w:r>
    </w:p>
    <w:p w14:paraId="62F65F40" w14:textId="59673F18" w:rsidR="00082BA1" w:rsidRPr="00014D1E" w:rsidRDefault="00605BB6" w:rsidP="008D4334">
      <w:pPr>
        <w:pStyle w:val="Heading2"/>
        <w:numPr>
          <w:ilvl w:val="0"/>
          <w:numId w:val="6"/>
        </w:numPr>
        <w:spacing w:line="240" w:lineRule="auto"/>
        <w:rPr>
          <w:rFonts w:ascii="Arial" w:hAnsi="Arial" w:cs="Arial"/>
          <w:color w:val="0432FF"/>
          <w:szCs w:val="23"/>
        </w:rPr>
      </w:pPr>
      <w:r w:rsidRPr="00014D1E">
        <w:rPr>
          <w:rFonts w:ascii="Arial" w:hAnsi="Arial" w:cs="Arial"/>
          <w:color w:val="0432FF"/>
          <w:szCs w:val="23"/>
        </w:rPr>
        <w:t>Philippine disaster risk context</w:t>
      </w:r>
      <w:r w:rsidR="001C7087">
        <w:rPr>
          <w:rFonts w:ascii="Arial" w:hAnsi="Arial" w:cs="Arial"/>
          <w:color w:val="0432FF"/>
          <w:szCs w:val="23"/>
        </w:rPr>
        <w:br/>
      </w:r>
    </w:p>
    <w:p w14:paraId="1E99CF71" w14:textId="166605BA"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The Philippines is an archipelagic country located along the Western Pacific typhoon belt and the Pacific Ring of Fire. This geography exposes settlements and infrastructure to hydrometeorological hazards, geophysical hazards, and compound risks associated with coastal concentration, islanded infrastructure, and uneven socioeconomic capacity. The national disaster-risk profile is therefore not only a function of hazard frequency; it is also shaped by exposure, vulnerability, coping capacity, and adaptive capacity (</w:t>
      </w:r>
      <w:proofErr w:type="spellStart"/>
      <w:r w:rsidRPr="0002445C">
        <w:rPr>
          <w:rFonts w:ascii="Arial" w:hAnsi="Arial" w:cs="Arial"/>
          <w:sz w:val="20"/>
          <w:szCs w:val="20"/>
        </w:rPr>
        <w:t>Bündnis</w:t>
      </w:r>
      <w:proofErr w:type="spellEnd"/>
      <w:r w:rsidRPr="0002445C">
        <w:rPr>
          <w:rFonts w:ascii="Arial" w:hAnsi="Arial" w:cs="Arial"/>
          <w:sz w:val="20"/>
          <w:szCs w:val="20"/>
        </w:rPr>
        <w:t xml:space="preserve"> </w:t>
      </w:r>
      <w:proofErr w:type="spellStart"/>
      <w:r w:rsidRPr="0002445C">
        <w:rPr>
          <w:rFonts w:ascii="Arial" w:hAnsi="Arial" w:cs="Arial"/>
          <w:sz w:val="20"/>
          <w:szCs w:val="20"/>
        </w:rPr>
        <w:t>Entwicklung</w:t>
      </w:r>
      <w:proofErr w:type="spellEnd"/>
      <w:r w:rsidRPr="0002445C">
        <w:rPr>
          <w:rFonts w:ascii="Arial" w:hAnsi="Arial" w:cs="Arial"/>
          <w:sz w:val="20"/>
          <w:szCs w:val="20"/>
        </w:rPr>
        <w:t xml:space="preserve"> </w:t>
      </w:r>
      <w:proofErr w:type="spellStart"/>
      <w:r w:rsidRPr="0002445C">
        <w:rPr>
          <w:rFonts w:ascii="Arial" w:hAnsi="Arial" w:cs="Arial"/>
          <w:sz w:val="20"/>
          <w:szCs w:val="20"/>
        </w:rPr>
        <w:t>Hilft</w:t>
      </w:r>
      <w:proofErr w:type="spellEnd"/>
      <w:r w:rsidRPr="0002445C">
        <w:rPr>
          <w:rFonts w:ascii="Arial" w:hAnsi="Arial" w:cs="Arial"/>
          <w:sz w:val="20"/>
          <w:szCs w:val="20"/>
        </w:rPr>
        <w:t xml:space="preserve"> &amp; IFHV, 2023; </w:t>
      </w:r>
      <w:proofErr w:type="spellStart"/>
      <w:r w:rsidRPr="0002445C">
        <w:rPr>
          <w:rFonts w:ascii="Arial" w:hAnsi="Arial" w:cs="Arial"/>
          <w:sz w:val="20"/>
          <w:szCs w:val="20"/>
        </w:rPr>
        <w:t>Iuchi</w:t>
      </w:r>
      <w:proofErr w:type="spellEnd"/>
      <w:r w:rsidRPr="0002445C">
        <w:rPr>
          <w:rFonts w:ascii="Arial" w:hAnsi="Arial" w:cs="Arial"/>
          <w:sz w:val="20"/>
          <w:szCs w:val="20"/>
        </w:rPr>
        <w:t xml:space="preserve"> et al., 2019; World Bank, 2003).</w:t>
      </w:r>
    </w:p>
    <w:p w14:paraId="0DB7EB7C" w14:textId="7777777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Several statistics provide the empirical backdrop for post-disaster monitoring in the Philippines. The country has more than 7,600 islands, dense coastal settlement patterns, and substantial exposure to typhoons, floods, storm surges, earthquakes, and volcanic hazards. Recent Philippine disaster histories include Tropical Storm Ketsana/Ondoy in 2009, Tropical Storm Washi/</w:t>
      </w:r>
      <w:proofErr w:type="spellStart"/>
      <w:r w:rsidRPr="0002445C">
        <w:rPr>
          <w:rFonts w:ascii="Arial" w:hAnsi="Arial" w:cs="Arial"/>
          <w:sz w:val="20"/>
          <w:szCs w:val="20"/>
        </w:rPr>
        <w:t>Sendong</w:t>
      </w:r>
      <w:proofErr w:type="spellEnd"/>
      <w:r w:rsidRPr="0002445C">
        <w:rPr>
          <w:rFonts w:ascii="Arial" w:hAnsi="Arial" w:cs="Arial"/>
          <w:sz w:val="20"/>
          <w:szCs w:val="20"/>
        </w:rPr>
        <w:t xml:space="preserve"> in 2011, Typhoon Bopha/Pablo in 2012, Super Typhoon Haiyan/Yolanda in 2013, and later high-impact cyclones such as Goni/Rolly and Odette/Rai. These events show that disaster impact is expressed not only as direct physical damage but also as displacement, service disruption, delayed electricity restoration, and long-term resettlement trajectories (NDRRMC, 2010, 2015; IDMC, 2013, 2023; IFRC, 2015).</w:t>
      </w:r>
    </w:p>
    <w:p w14:paraId="63D1A7D2" w14:textId="7777777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 xml:space="preserve">The </w:t>
      </w:r>
      <w:proofErr w:type="spellStart"/>
      <w:r w:rsidRPr="0002445C">
        <w:rPr>
          <w:rFonts w:ascii="Arial" w:hAnsi="Arial" w:cs="Arial"/>
          <w:sz w:val="20"/>
          <w:szCs w:val="20"/>
        </w:rPr>
        <w:t>WorldRiskIndex</w:t>
      </w:r>
      <w:proofErr w:type="spellEnd"/>
      <w:r w:rsidRPr="0002445C">
        <w:rPr>
          <w:rFonts w:ascii="Arial" w:hAnsi="Arial" w:cs="Arial"/>
          <w:sz w:val="20"/>
          <w:szCs w:val="20"/>
        </w:rPr>
        <w:t xml:space="preserve"> has repeatedly classified the Philippines among the countries with the highest disaster risk globally. This ranking is methodologically important because it frames risk as the interaction of hazard exposure and societal vulnerability rather than as hazard occurrence alone. In the context of satellite-based disaster studies, this distinction matters: remote sensing can observe selected manifestations of impact and recovery, but it cannot directly observe all components of vulnerability, coping capacity, or adaptive capacity (</w:t>
      </w:r>
      <w:proofErr w:type="spellStart"/>
      <w:r w:rsidRPr="0002445C">
        <w:rPr>
          <w:rFonts w:ascii="Arial" w:hAnsi="Arial" w:cs="Arial"/>
          <w:sz w:val="20"/>
          <w:szCs w:val="20"/>
        </w:rPr>
        <w:t>Bündnis</w:t>
      </w:r>
      <w:proofErr w:type="spellEnd"/>
      <w:r w:rsidRPr="0002445C">
        <w:rPr>
          <w:rFonts w:ascii="Arial" w:hAnsi="Arial" w:cs="Arial"/>
          <w:sz w:val="20"/>
          <w:szCs w:val="20"/>
        </w:rPr>
        <w:t xml:space="preserve"> </w:t>
      </w:r>
      <w:proofErr w:type="spellStart"/>
      <w:r w:rsidRPr="0002445C">
        <w:rPr>
          <w:rFonts w:ascii="Arial" w:hAnsi="Arial" w:cs="Arial"/>
          <w:sz w:val="20"/>
          <w:szCs w:val="20"/>
        </w:rPr>
        <w:t>Entwicklung</w:t>
      </w:r>
      <w:proofErr w:type="spellEnd"/>
      <w:r w:rsidRPr="0002445C">
        <w:rPr>
          <w:rFonts w:ascii="Arial" w:hAnsi="Arial" w:cs="Arial"/>
          <w:sz w:val="20"/>
          <w:szCs w:val="20"/>
        </w:rPr>
        <w:t xml:space="preserve"> </w:t>
      </w:r>
      <w:proofErr w:type="spellStart"/>
      <w:r w:rsidRPr="0002445C">
        <w:rPr>
          <w:rFonts w:ascii="Arial" w:hAnsi="Arial" w:cs="Arial"/>
          <w:sz w:val="20"/>
          <w:szCs w:val="20"/>
        </w:rPr>
        <w:t>Hilft</w:t>
      </w:r>
      <w:proofErr w:type="spellEnd"/>
      <w:r w:rsidRPr="0002445C">
        <w:rPr>
          <w:rFonts w:ascii="Arial" w:hAnsi="Arial" w:cs="Arial"/>
          <w:sz w:val="20"/>
          <w:szCs w:val="20"/>
        </w:rPr>
        <w:t xml:space="preserve"> &amp; IFHV, 2023).</w:t>
      </w:r>
    </w:p>
    <w:p w14:paraId="415AE286" w14:textId="7DD46D04" w:rsidR="001C7087" w:rsidRPr="001C7087" w:rsidRDefault="00605BB6" w:rsidP="008D4334">
      <w:pPr>
        <w:pStyle w:val="Heading2"/>
        <w:numPr>
          <w:ilvl w:val="0"/>
          <w:numId w:val="6"/>
        </w:numPr>
        <w:spacing w:line="240" w:lineRule="auto"/>
        <w:rPr>
          <w:rFonts w:ascii="Arial" w:hAnsi="Arial" w:cs="Arial"/>
          <w:color w:val="0432FF"/>
          <w:szCs w:val="23"/>
        </w:rPr>
      </w:pPr>
      <w:r w:rsidRPr="001C7087">
        <w:rPr>
          <w:rFonts w:ascii="Arial" w:hAnsi="Arial" w:cs="Arial"/>
          <w:color w:val="0432FF"/>
          <w:szCs w:val="23"/>
        </w:rPr>
        <w:t>Typhoons, tropical cyclones, and climate-change relevance</w:t>
      </w:r>
      <w:r w:rsidR="001C7087">
        <w:rPr>
          <w:rFonts w:ascii="Arial" w:hAnsi="Arial" w:cs="Arial"/>
          <w:color w:val="0432FF"/>
          <w:szCs w:val="23"/>
        </w:rPr>
        <w:br/>
      </w:r>
    </w:p>
    <w:p w14:paraId="5232AAA6" w14:textId="0147FA53"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 xml:space="preserve">A typhoon is a regional name for a tropical cyclone in the Western North Pacific. Tropical cyclones are rotating, warm-core storm systems that derive energy from warm ocean surfaces and can generate extreme winds, heavy rainfall, storm surge, landslides, and coastal flooding. The local naming convention in the Philippines often differs from the international name; for example, Super Typhoon Haiyan is locally known as </w:t>
      </w:r>
      <w:r w:rsidRPr="005C582A">
        <w:rPr>
          <w:rFonts w:ascii="Arial" w:hAnsi="Arial" w:cs="Arial"/>
          <w:i/>
          <w:iCs/>
          <w:sz w:val="20"/>
          <w:szCs w:val="20"/>
        </w:rPr>
        <w:t>Yolanda</w:t>
      </w:r>
      <w:r w:rsidRPr="0002445C">
        <w:rPr>
          <w:rFonts w:ascii="Arial" w:hAnsi="Arial" w:cs="Arial"/>
          <w:sz w:val="20"/>
          <w:szCs w:val="20"/>
        </w:rPr>
        <w:t>. This convention should be handled consistently in disaster literature, with both local and international names introduced when first used.</w:t>
      </w:r>
    </w:p>
    <w:p w14:paraId="7CC9721A" w14:textId="737BF969"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 xml:space="preserve">Climate change is relevant to typhoon impacts because warming oceans and a warmer atmosphere can intensify rainfall, increase the likelihood of very intense storms, and exacerbate storm-surge and flood impacts through sea-level rise and compound coastal exposure. The literature is more cautious regarding changes in overall tropical cyclone frequency than changes in </w:t>
      </w:r>
      <w:r w:rsidRPr="0002445C">
        <w:rPr>
          <w:rFonts w:ascii="Arial" w:hAnsi="Arial" w:cs="Arial"/>
          <w:sz w:val="20"/>
          <w:szCs w:val="20"/>
        </w:rPr>
        <w:lastRenderedPageBreak/>
        <w:t xml:space="preserve">intensity and rainfall. </w:t>
      </w:r>
      <w:r w:rsidR="00AA237C">
        <w:rPr>
          <w:rFonts w:ascii="Arial" w:hAnsi="Arial" w:cs="Arial"/>
          <w:sz w:val="20"/>
          <w:szCs w:val="20"/>
        </w:rPr>
        <w:t>T</w:t>
      </w:r>
      <w:r w:rsidRPr="0002445C">
        <w:rPr>
          <w:rFonts w:ascii="Arial" w:hAnsi="Arial" w:cs="Arial"/>
          <w:sz w:val="20"/>
          <w:szCs w:val="20"/>
        </w:rPr>
        <w:t>yphoons are simply becoming more frequent everywhere, but that warming conditions increase the potential for high-impact rainfall, stronger peak winds among intense storms, rapid intensification, and compounding coastal hazards (IPCC, 2021; Bollettino et al., 2020).</w:t>
      </w:r>
    </w:p>
    <w:p w14:paraId="572B3A71" w14:textId="7777777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Super Typhoon Haiyan/Yolanda remains a central case for Philippine post-disaster research because it combined extreme hazard intensity, dense coastal exposure, catastrophic housing damage, large-scale displacement, and prolonged power interruption. The event affected approximately 16 million people, caused more than 6,000 deaths, and damaged more than one million houses according to official disaster reporting. These impacts make Yolanda a reference event for examining how physical destruction, electricity disruption, relief logistics, resettlement, and long-term recovery interact (NDRRMC, 2015; IFRC, 2015).</w:t>
      </w:r>
    </w:p>
    <w:p w14:paraId="306DE994" w14:textId="26CA530A" w:rsidR="00605BB6" w:rsidRPr="004B2F38" w:rsidRDefault="00605BB6" w:rsidP="008D4334">
      <w:pPr>
        <w:pStyle w:val="Heading2"/>
        <w:numPr>
          <w:ilvl w:val="0"/>
          <w:numId w:val="6"/>
        </w:numPr>
        <w:spacing w:line="240" w:lineRule="auto"/>
        <w:rPr>
          <w:rFonts w:ascii="Arial" w:hAnsi="Arial" w:cs="Arial"/>
          <w:color w:val="0432FF"/>
          <w:szCs w:val="23"/>
        </w:rPr>
      </w:pPr>
      <w:r w:rsidRPr="004B2F38">
        <w:rPr>
          <w:rFonts w:ascii="Arial" w:hAnsi="Arial" w:cs="Arial"/>
          <w:color w:val="0432FF"/>
          <w:szCs w:val="23"/>
        </w:rPr>
        <w:t>Disaster, risk, exposure, vulnerability, and capacity</w:t>
      </w:r>
    </w:p>
    <w:p w14:paraId="2A3D82B2" w14:textId="77777777" w:rsidR="004B2F38" w:rsidRDefault="004B2F38" w:rsidP="008D4334">
      <w:pPr>
        <w:spacing w:line="240" w:lineRule="auto"/>
        <w:ind w:left="1080"/>
        <w:rPr>
          <w:rFonts w:ascii="Arial" w:hAnsi="Arial" w:cs="Arial"/>
          <w:sz w:val="20"/>
          <w:szCs w:val="20"/>
        </w:rPr>
      </w:pPr>
    </w:p>
    <w:p w14:paraId="03A69528" w14:textId="086F2079"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 xml:space="preserve">A disaster is commonly defined as a serious disruption of a community or society caused by hazardous events interacting with conditions of exposure, vulnerability, and capacity, resulting in human, material, economic, or environmental losses that exceed the affected community's ability to cope using its own resources (UNDRR, 2017). This definition is important because it separates the hazard from the disaster: </w:t>
      </w:r>
      <w:r w:rsidRPr="00DB4D33">
        <w:rPr>
          <w:rFonts w:ascii="Arial" w:hAnsi="Arial" w:cs="Arial"/>
          <w:b/>
          <w:bCs/>
          <w:sz w:val="20"/>
          <w:szCs w:val="20"/>
        </w:rPr>
        <w:t>a typhoon becomes a disaster through the social, spatial, infrastructural, and institutional conditions it encounters.</w:t>
      </w:r>
    </w:p>
    <w:p w14:paraId="28B4D076" w14:textId="7777777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 xml:space="preserve">Hazard refers to the potentially damaging physical event or process, such as a tropical cyclone, flood, earthquake, storm surge, or volcanic eruption. Exposure refers to the presence of people, infrastructure, assets, livelihoods, and services in places that could be affected. Vulnerability refers to the conditions that make those exposed elements susceptible to harm. Capacity refers to the strengths and resources available to anticipate, cope with, respond to, and recover from hazardous events. Disaster risk is therefore produced by the interaction of hazard, exposure, vulnerability, and capacity rather than by any single factor alone (UNDRR, 2017; </w:t>
      </w:r>
      <w:proofErr w:type="spellStart"/>
      <w:r w:rsidRPr="0002445C">
        <w:rPr>
          <w:rFonts w:ascii="Arial" w:hAnsi="Arial" w:cs="Arial"/>
          <w:sz w:val="20"/>
          <w:szCs w:val="20"/>
        </w:rPr>
        <w:t>Ghaffarian</w:t>
      </w:r>
      <w:proofErr w:type="spellEnd"/>
      <w:r w:rsidRPr="0002445C">
        <w:rPr>
          <w:rFonts w:ascii="Arial" w:hAnsi="Arial" w:cs="Arial"/>
          <w:sz w:val="20"/>
          <w:szCs w:val="20"/>
        </w:rPr>
        <w:t xml:space="preserve"> et al., 2018).</w:t>
      </w:r>
    </w:p>
    <w:p w14:paraId="3BAE09CC" w14:textId="0CEE707C"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 xml:space="preserve">This conceptual distinction is directly relevant to remote sensing. Earth observation can map components of exposure, selected physical impacts, land-cover change, settlement growth, and functional proxies such as nighttime lights. It cannot, by itself, establish vulnerability, lived recovery, institutional capacity, or social resilience. </w:t>
      </w:r>
      <w:r w:rsidR="00C7629F">
        <w:rPr>
          <w:rFonts w:ascii="Arial" w:hAnsi="Arial" w:cs="Arial"/>
          <w:sz w:val="20"/>
          <w:szCs w:val="20"/>
        </w:rPr>
        <w:t>Hence, there is a</w:t>
      </w:r>
      <w:r w:rsidRPr="0002445C">
        <w:rPr>
          <w:rFonts w:ascii="Arial" w:hAnsi="Arial" w:cs="Arial"/>
          <w:sz w:val="20"/>
          <w:szCs w:val="20"/>
        </w:rPr>
        <w:t xml:space="preserve"> need to treat remotely sensed indicators as proxy evidence rather than direct measures of disaster risk or recovery.</w:t>
      </w:r>
    </w:p>
    <w:p w14:paraId="1EBAA32A" w14:textId="636C677E" w:rsidR="00605BB6" w:rsidRPr="004B2F38" w:rsidRDefault="00605BB6" w:rsidP="008D4334">
      <w:pPr>
        <w:pStyle w:val="Heading2"/>
        <w:numPr>
          <w:ilvl w:val="0"/>
          <w:numId w:val="6"/>
        </w:numPr>
        <w:spacing w:line="240" w:lineRule="auto"/>
        <w:rPr>
          <w:rFonts w:ascii="Arial" w:hAnsi="Arial" w:cs="Arial"/>
          <w:color w:val="0432FF"/>
          <w:szCs w:val="23"/>
        </w:rPr>
      </w:pPr>
      <w:r w:rsidRPr="004B2F38">
        <w:rPr>
          <w:rFonts w:ascii="Arial" w:hAnsi="Arial" w:cs="Arial"/>
          <w:color w:val="0432FF"/>
          <w:szCs w:val="23"/>
        </w:rPr>
        <w:t>Disaster impact, recovery, reconstruction, rehabilitation, and resilience</w:t>
      </w:r>
    </w:p>
    <w:p w14:paraId="3DDC8ACA" w14:textId="77777777" w:rsidR="004B2F38" w:rsidRDefault="004B2F38" w:rsidP="008D4334">
      <w:pPr>
        <w:spacing w:line="240" w:lineRule="auto"/>
        <w:rPr>
          <w:rFonts w:ascii="Arial" w:hAnsi="Arial" w:cs="Arial"/>
          <w:sz w:val="20"/>
          <w:szCs w:val="20"/>
        </w:rPr>
      </w:pPr>
    </w:p>
    <w:p w14:paraId="791243BE" w14:textId="2FE34BB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Disaster impact refers to the immediate and cascading consequences of a hazardous event, including physical destruction, deaths, displacement, infrastructure failure, service disruption, livelihood loss, and environmental damage. Recovery is broader and more temporally extended. It includes the processes through which affected communities restore, reorganize, or transform physical assets, services, livelihoods, institutions, and social conditions after the event (</w:t>
      </w:r>
      <w:proofErr w:type="spellStart"/>
      <w:r w:rsidRPr="0002445C">
        <w:rPr>
          <w:rFonts w:ascii="Arial" w:hAnsi="Arial" w:cs="Arial"/>
          <w:sz w:val="20"/>
          <w:szCs w:val="20"/>
        </w:rPr>
        <w:t>Ghaffarian</w:t>
      </w:r>
      <w:proofErr w:type="spellEnd"/>
      <w:r w:rsidRPr="0002445C">
        <w:rPr>
          <w:rFonts w:ascii="Arial" w:hAnsi="Arial" w:cs="Arial"/>
          <w:sz w:val="20"/>
          <w:szCs w:val="20"/>
        </w:rPr>
        <w:t>, 2020; Friedrich et al., 2026).</w:t>
      </w:r>
    </w:p>
    <w:p w14:paraId="4CBDC6C9" w14:textId="7777777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Rehabilitation, reconstruction, and recovery are related but not identical. Rehabilitation generally refers to restoring basic conditions for survival and functioning. Reconstruction refers more specifically to rebuilding infrastructure, housing, and physical assets. Recovery includes these processes but also encompasses social, economic, functional, and risk-reduction dimensions. A settlement may be physically reconstructed without being socially or economically recovered; conversely, temporary restoration of activity may not imply reduced future risk (</w:t>
      </w:r>
      <w:proofErr w:type="spellStart"/>
      <w:r w:rsidRPr="0002445C">
        <w:rPr>
          <w:rFonts w:ascii="Arial" w:hAnsi="Arial" w:cs="Arial"/>
          <w:sz w:val="20"/>
          <w:szCs w:val="20"/>
        </w:rPr>
        <w:t>Ghaffarian</w:t>
      </w:r>
      <w:proofErr w:type="spellEnd"/>
      <w:r w:rsidRPr="0002445C">
        <w:rPr>
          <w:rFonts w:ascii="Arial" w:hAnsi="Arial" w:cs="Arial"/>
          <w:sz w:val="20"/>
          <w:szCs w:val="20"/>
        </w:rPr>
        <w:t>, 2020; Eadie, 2019; Lauer et al., 2026).</w:t>
      </w:r>
    </w:p>
    <w:p w14:paraId="277FE31D" w14:textId="7777777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 xml:space="preserve">Resilience is often used to describe the ability of a system, community, or society to resist, absorb, adapt to, and recover from hazardous events while preserving or restoring essential functions. In practice, resilience is difficult to measure directly. It is usually inferred through proxy indicators such as recovery duration, service continuity, income, housing, employment, access to infrastructure, institutional capacity, or the ability to avoid returning to hazardous conditions (Cutter et al., 2008; Bruneau et al., 2003; </w:t>
      </w:r>
      <w:proofErr w:type="spellStart"/>
      <w:r w:rsidRPr="0002445C">
        <w:rPr>
          <w:rFonts w:ascii="Arial" w:hAnsi="Arial" w:cs="Arial"/>
          <w:sz w:val="20"/>
          <w:szCs w:val="20"/>
        </w:rPr>
        <w:t>Ghaffarian</w:t>
      </w:r>
      <w:proofErr w:type="spellEnd"/>
      <w:r w:rsidRPr="0002445C">
        <w:rPr>
          <w:rFonts w:ascii="Arial" w:hAnsi="Arial" w:cs="Arial"/>
          <w:sz w:val="20"/>
          <w:szCs w:val="20"/>
        </w:rPr>
        <w:t xml:space="preserve"> et al., 2018).</w:t>
      </w:r>
    </w:p>
    <w:p w14:paraId="70389E0F" w14:textId="55C25D2F" w:rsidR="00605BB6" w:rsidRPr="004B2F38" w:rsidRDefault="00605BB6" w:rsidP="008D4334">
      <w:pPr>
        <w:pStyle w:val="Heading2"/>
        <w:numPr>
          <w:ilvl w:val="0"/>
          <w:numId w:val="6"/>
        </w:numPr>
        <w:spacing w:line="240" w:lineRule="auto"/>
        <w:rPr>
          <w:rFonts w:ascii="Arial" w:hAnsi="Arial" w:cs="Arial"/>
          <w:color w:val="0432FF"/>
          <w:szCs w:val="23"/>
        </w:rPr>
      </w:pPr>
      <w:r w:rsidRPr="004B2F38">
        <w:rPr>
          <w:rFonts w:ascii="Arial" w:hAnsi="Arial" w:cs="Arial"/>
          <w:color w:val="0432FF"/>
          <w:szCs w:val="23"/>
        </w:rPr>
        <w:lastRenderedPageBreak/>
        <w:t>Power outage, electricity restoration, and functional recovery</w:t>
      </w:r>
    </w:p>
    <w:p w14:paraId="507D7BE3" w14:textId="77777777" w:rsidR="004B2F38" w:rsidRDefault="004B2F38" w:rsidP="008D4334">
      <w:pPr>
        <w:spacing w:line="240" w:lineRule="auto"/>
        <w:ind w:left="1080"/>
        <w:rPr>
          <w:rFonts w:ascii="Arial" w:hAnsi="Arial" w:cs="Arial"/>
          <w:sz w:val="20"/>
          <w:szCs w:val="20"/>
        </w:rPr>
      </w:pPr>
    </w:p>
    <w:p w14:paraId="47148D13" w14:textId="7714E904"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Electricity disruption is a functional impact because it affects health services, communications, water systems, mobility, refrigeration, livelihoods, safety, and administrative coordination. In severe disasters, electricity restoration may occur unevenly across transmission, distribution, critical facilities, public spaces, businesses, and households. Official restoration reports may therefore diverge from lived electricity access or from satellite-observed nighttime activity (Román et al., 2019).</w:t>
      </w:r>
    </w:p>
    <w:p w14:paraId="7A74F3D5" w14:textId="7777777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Power-system recovery can be measured through utility reports, grid-load data, outage records, customer interruptions, field surveys, and indirect satellite proxies. Each source measures a different object. Load data measures aggregate demand; outage reports measure reported or estimated service interruption; nighttime lights measure upward radiance associated with electrified activity; household surveys measure experienced access. A defensible recovery interpretation requires explicit alignment between the claimed recovery dimension and the data source used to observe it.</w:t>
      </w:r>
    </w:p>
    <w:p w14:paraId="73BB1BBA" w14:textId="61A873C5" w:rsidR="00605BB6" w:rsidRPr="004B2F38" w:rsidRDefault="00605BB6" w:rsidP="008D4334">
      <w:pPr>
        <w:pStyle w:val="Heading2"/>
        <w:numPr>
          <w:ilvl w:val="0"/>
          <w:numId w:val="6"/>
        </w:numPr>
        <w:spacing w:line="240" w:lineRule="auto"/>
        <w:rPr>
          <w:rFonts w:ascii="Arial" w:hAnsi="Arial" w:cs="Arial"/>
          <w:color w:val="0432FF"/>
          <w:szCs w:val="23"/>
        </w:rPr>
      </w:pPr>
      <w:r w:rsidRPr="004B2F38">
        <w:rPr>
          <w:rFonts w:ascii="Arial" w:hAnsi="Arial" w:cs="Arial"/>
          <w:color w:val="0432FF"/>
          <w:szCs w:val="23"/>
        </w:rPr>
        <w:t>Internal displacement and post-disaster resettlement</w:t>
      </w:r>
    </w:p>
    <w:p w14:paraId="593C7DDA" w14:textId="77777777" w:rsidR="004B2F38" w:rsidRDefault="004B2F38" w:rsidP="008D4334">
      <w:pPr>
        <w:spacing w:line="240" w:lineRule="auto"/>
        <w:ind w:left="1080"/>
        <w:rPr>
          <w:rFonts w:ascii="Arial" w:hAnsi="Arial" w:cs="Arial"/>
          <w:sz w:val="20"/>
          <w:szCs w:val="20"/>
        </w:rPr>
      </w:pPr>
    </w:p>
    <w:p w14:paraId="6C23973E" w14:textId="28E0F5A5"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Internal displacement occurs when people are forced or obliged to flee or leave their homes but remain within the borders of their country. In the Philippines, disaster-induced displacement is a recurrent consequence of typhoons, floods, landslides, storm surges, and volcanic hazards. Resettlement is often used as a risk-reduction strategy to relocate populations away from high-risk areas, but its success depends on site safety, livelihood access, basic services, transportation, tenure security, social networks, and long-term governance (IDMC, 2013, 2023; Villanueva, 2018).</w:t>
      </w:r>
    </w:p>
    <w:p w14:paraId="2C6E1C49" w14:textId="7DB2026C"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 xml:space="preserve">Post-disaster resettlement should not be equated automatically with recovery. A resettlement site may reduce exposure to one hazard while producing new vulnerabilities through distance from jobs, weak transport links, inadequate services, or exposure to other hazards. This is why resettlement studies often rely on household surveys, participatory approaches, planning analysis, and qualitative assessment. Nighttime lights can contribute to this literature by tracking settlement emergence and activity over time, but it cannot directly measure household well-being or social sustainability (Eadie, 2019; </w:t>
      </w:r>
      <w:proofErr w:type="spellStart"/>
      <w:r w:rsidRPr="0002445C">
        <w:rPr>
          <w:rFonts w:ascii="Arial" w:hAnsi="Arial" w:cs="Arial"/>
          <w:sz w:val="20"/>
          <w:szCs w:val="20"/>
        </w:rPr>
        <w:t>Mangada</w:t>
      </w:r>
      <w:proofErr w:type="spellEnd"/>
      <w:r w:rsidRPr="0002445C">
        <w:rPr>
          <w:rFonts w:ascii="Arial" w:hAnsi="Arial" w:cs="Arial"/>
          <w:sz w:val="20"/>
          <w:szCs w:val="20"/>
        </w:rPr>
        <w:t xml:space="preserve"> &amp; </w:t>
      </w:r>
      <w:proofErr w:type="spellStart"/>
      <w:r w:rsidRPr="0002445C">
        <w:rPr>
          <w:rFonts w:ascii="Arial" w:hAnsi="Arial" w:cs="Arial"/>
          <w:sz w:val="20"/>
          <w:szCs w:val="20"/>
        </w:rPr>
        <w:t>Cuaton</w:t>
      </w:r>
      <w:proofErr w:type="spellEnd"/>
      <w:r w:rsidRPr="0002445C">
        <w:rPr>
          <w:rFonts w:ascii="Arial" w:hAnsi="Arial" w:cs="Arial"/>
          <w:sz w:val="20"/>
          <w:szCs w:val="20"/>
        </w:rPr>
        <w:t>, 2022; Lauer et al., 2026; Principe</w:t>
      </w:r>
      <w:r w:rsidR="003815F9">
        <w:rPr>
          <w:rFonts w:ascii="Arial" w:hAnsi="Arial" w:cs="Arial"/>
          <w:sz w:val="20"/>
          <w:szCs w:val="20"/>
        </w:rPr>
        <w:t xml:space="preserve"> et al</w:t>
      </w:r>
      <w:r w:rsidRPr="0002445C">
        <w:rPr>
          <w:rFonts w:ascii="Arial" w:hAnsi="Arial" w:cs="Arial"/>
          <w:sz w:val="20"/>
          <w:szCs w:val="20"/>
        </w:rPr>
        <w:t>, 202</w:t>
      </w:r>
      <w:r w:rsidR="00087806">
        <w:rPr>
          <w:rFonts w:ascii="Arial" w:hAnsi="Arial" w:cs="Arial"/>
          <w:sz w:val="20"/>
          <w:szCs w:val="20"/>
        </w:rPr>
        <w:t>3</w:t>
      </w:r>
      <w:r w:rsidRPr="0002445C">
        <w:rPr>
          <w:rFonts w:ascii="Arial" w:hAnsi="Arial" w:cs="Arial"/>
          <w:sz w:val="20"/>
          <w:szCs w:val="20"/>
        </w:rPr>
        <w:t>).</w:t>
      </w:r>
    </w:p>
    <w:p w14:paraId="173FF29D" w14:textId="4A02AB49" w:rsidR="00605BB6" w:rsidRPr="004B2F38" w:rsidRDefault="00605BB6" w:rsidP="008D4334">
      <w:pPr>
        <w:pStyle w:val="Heading2"/>
        <w:numPr>
          <w:ilvl w:val="0"/>
          <w:numId w:val="6"/>
        </w:numPr>
        <w:spacing w:line="240" w:lineRule="auto"/>
        <w:rPr>
          <w:rFonts w:ascii="Arial" w:hAnsi="Arial" w:cs="Arial"/>
          <w:color w:val="0432FF"/>
          <w:sz w:val="20"/>
          <w:szCs w:val="20"/>
        </w:rPr>
      </w:pPr>
      <w:r w:rsidRPr="004B2F38">
        <w:rPr>
          <w:rFonts w:ascii="Arial" w:hAnsi="Arial" w:cs="Arial"/>
          <w:color w:val="0432FF"/>
          <w:sz w:val="20"/>
          <w:szCs w:val="20"/>
        </w:rPr>
        <w:t>Earth observation, proxy logic, and the role of GHSL</w:t>
      </w:r>
    </w:p>
    <w:p w14:paraId="79913BDA" w14:textId="77777777" w:rsidR="004B2F38" w:rsidRDefault="004B2F38" w:rsidP="008D4334">
      <w:pPr>
        <w:spacing w:line="240" w:lineRule="auto"/>
        <w:ind w:left="1080"/>
        <w:rPr>
          <w:rFonts w:ascii="Arial" w:hAnsi="Arial" w:cs="Arial"/>
          <w:sz w:val="20"/>
          <w:szCs w:val="20"/>
        </w:rPr>
      </w:pPr>
    </w:p>
    <w:p w14:paraId="0B4B3F90" w14:textId="35F7AC14"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Remote sensing is useful in disaster research because it provides repeated, spatially explicit observations when field access is restricted, administrative data are delayed, or local reporting systems are fragmented. However, most disaster-relevant quantities are not directly observable from space. Studies therefore rely on proxies: observable indicators that are assumed to represent otherwise difficult-to-measure processes such as damage, reconstruction, activity, exposure, vulnerability, or recovery (</w:t>
      </w:r>
      <w:proofErr w:type="spellStart"/>
      <w:r w:rsidRPr="0002445C">
        <w:rPr>
          <w:rFonts w:ascii="Arial" w:hAnsi="Arial" w:cs="Arial"/>
          <w:sz w:val="20"/>
          <w:szCs w:val="20"/>
        </w:rPr>
        <w:t>Ghaffarian</w:t>
      </w:r>
      <w:proofErr w:type="spellEnd"/>
      <w:r w:rsidRPr="0002445C">
        <w:rPr>
          <w:rFonts w:ascii="Arial" w:hAnsi="Arial" w:cs="Arial"/>
          <w:sz w:val="20"/>
          <w:szCs w:val="20"/>
        </w:rPr>
        <w:t xml:space="preserve"> et al., 2018; Friedrich et al., 2026).</w:t>
      </w:r>
    </w:p>
    <w:p w14:paraId="60D23893" w14:textId="7777777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 xml:space="preserve">The Global Human Settlement Layer (GHSL) is a global, multi-temporal dataset produced by the European Commission Joint Research Centre to characterize built-up surfaces, population, and settlement structure. The GHS Settlement Model (GHS-SMOD) applies the Degree of </w:t>
      </w:r>
      <w:proofErr w:type="spellStart"/>
      <w:r w:rsidRPr="0002445C">
        <w:rPr>
          <w:rFonts w:ascii="Arial" w:hAnsi="Arial" w:cs="Arial"/>
          <w:sz w:val="20"/>
          <w:szCs w:val="20"/>
        </w:rPr>
        <w:t>Urbanisation</w:t>
      </w:r>
      <w:proofErr w:type="spellEnd"/>
      <w:r w:rsidRPr="0002445C">
        <w:rPr>
          <w:rFonts w:ascii="Arial" w:hAnsi="Arial" w:cs="Arial"/>
          <w:sz w:val="20"/>
          <w:szCs w:val="20"/>
        </w:rPr>
        <w:t xml:space="preserve"> framework to classify areas along a settlement continuum. In nighttime lights studies, GHSL can be used to distinguish dense urban cores, semi-dense settlements, suburban or peri-urban forms, rural clusters, and unbuilt areas. This matters because nighttime-light stability, brightness, land-use meaning, and recovery interpretability differ across settlement morphologies (</w:t>
      </w:r>
      <w:proofErr w:type="spellStart"/>
      <w:r w:rsidRPr="0002445C">
        <w:rPr>
          <w:rFonts w:ascii="Arial" w:hAnsi="Arial" w:cs="Arial"/>
          <w:sz w:val="20"/>
          <w:szCs w:val="20"/>
        </w:rPr>
        <w:t>Schiavina</w:t>
      </w:r>
      <w:proofErr w:type="spellEnd"/>
      <w:r w:rsidRPr="0002445C">
        <w:rPr>
          <w:rFonts w:ascii="Arial" w:hAnsi="Arial" w:cs="Arial"/>
          <w:sz w:val="20"/>
          <w:szCs w:val="20"/>
        </w:rPr>
        <w:t xml:space="preserve"> et al., 2023; Small, 2021; Zheng et al., 2025).</w:t>
      </w:r>
    </w:p>
    <w:p w14:paraId="7BD14141" w14:textId="7777777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For disaster-oriented NTL research, GHSL should be treated as a contextual layer rather than a mere mask. It helps define where anthropogenic lighting is expected, where low-light radiance is likely to be unstable, where aggregation may improve signal quality, and where apparent recovery could be driven by urban morphology rather than disaster response. Settlement stratification therefore links the physical geography of communities to the interpretability of daily nighttime-light time series.</w:t>
      </w:r>
    </w:p>
    <w:p w14:paraId="25C1635C" w14:textId="1870F1D0" w:rsidR="00605BB6" w:rsidRPr="004B2F38" w:rsidRDefault="00605BB6" w:rsidP="008D4334">
      <w:pPr>
        <w:pStyle w:val="Heading2"/>
        <w:numPr>
          <w:ilvl w:val="0"/>
          <w:numId w:val="6"/>
        </w:numPr>
        <w:spacing w:line="240" w:lineRule="auto"/>
        <w:rPr>
          <w:rFonts w:ascii="Arial" w:hAnsi="Arial" w:cs="Arial"/>
          <w:color w:val="0432FF"/>
          <w:szCs w:val="23"/>
        </w:rPr>
      </w:pPr>
      <w:r w:rsidRPr="004B2F38">
        <w:rPr>
          <w:rFonts w:ascii="Arial" w:hAnsi="Arial" w:cs="Arial"/>
          <w:color w:val="0432FF"/>
          <w:szCs w:val="23"/>
        </w:rPr>
        <w:lastRenderedPageBreak/>
        <w:t>Nighttime lights, observability, and interpretability</w:t>
      </w:r>
    </w:p>
    <w:p w14:paraId="6A805A4D" w14:textId="77777777" w:rsidR="004B2F38" w:rsidRDefault="004B2F38" w:rsidP="008D4334">
      <w:pPr>
        <w:spacing w:line="240" w:lineRule="auto"/>
        <w:ind w:left="1080"/>
        <w:rPr>
          <w:rFonts w:ascii="Arial" w:hAnsi="Arial" w:cs="Arial"/>
          <w:sz w:val="20"/>
          <w:szCs w:val="20"/>
        </w:rPr>
      </w:pPr>
    </w:p>
    <w:p w14:paraId="070D86EF" w14:textId="50EB35EB"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 xml:space="preserve">Nighttime lights refer to satellite-observed nocturnal radiance associated with artificial lighting and other luminous sources. VIIRS-DNB and NASA Black Marble products provide radiance in </w:t>
      </w:r>
      <w:proofErr w:type="spellStart"/>
      <w:r w:rsidRPr="0002445C">
        <w:rPr>
          <w:rFonts w:ascii="Arial" w:hAnsi="Arial" w:cs="Arial"/>
          <w:sz w:val="20"/>
          <w:szCs w:val="20"/>
        </w:rPr>
        <w:t>nW</w:t>
      </w:r>
      <w:proofErr w:type="spellEnd"/>
      <w:r w:rsidRPr="0002445C">
        <w:rPr>
          <w:rFonts w:ascii="Arial" w:hAnsi="Arial" w:cs="Arial"/>
          <w:sz w:val="20"/>
          <w:szCs w:val="20"/>
        </w:rPr>
        <w:t xml:space="preserve"> cm</w:t>
      </w:r>
      <w:r w:rsidRPr="00104EB1">
        <w:rPr>
          <w:rFonts w:ascii="Arial" w:hAnsi="Arial" w:cs="Arial"/>
          <w:sz w:val="20"/>
          <w:szCs w:val="20"/>
          <w:vertAlign w:val="superscript"/>
        </w:rPr>
        <w:t>-2</w:t>
      </w:r>
      <w:r w:rsidRPr="0002445C">
        <w:rPr>
          <w:rFonts w:ascii="Arial" w:hAnsi="Arial" w:cs="Arial"/>
          <w:sz w:val="20"/>
          <w:szCs w:val="20"/>
        </w:rPr>
        <w:t xml:space="preserve"> sr</w:t>
      </w:r>
      <w:r w:rsidRPr="00104EB1">
        <w:rPr>
          <w:rFonts w:ascii="Arial" w:hAnsi="Arial" w:cs="Arial"/>
          <w:sz w:val="20"/>
          <w:szCs w:val="20"/>
          <w:vertAlign w:val="superscript"/>
        </w:rPr>
        <w:t>-1</w:t>
      </w:r>
      <w:r w:rsidRPr="0002445C">
        <w:rPr>
          <w:rFonts w:ascii="Arial" w:hAnsi="Arial" w:cs="Arial"/>
          <w:sz w:val="20"/>
          <w:szCs w:val="20"/>
        </w:rPr>
        <w:t xml:space="preserve"> and support applications in urbanization, electricity access, economic activity, poverty estimation, conflict monitoring, disaster impact, and recovery assessment. The Black Marble product suite adds physically based corrections for lunar illumination, atmospheric effects, terrain, BRDF, and sensor geometry, and supplies quality information that is critical for interpreting daily observations (Román et al., 2018; Levin et al., 2020).</w:t>
      </w:r>
    </w:p>
    <w:p w14:paraId="2CFE2F61" w14:textId="77777777" w:rsidR="00605BB6" w:rsidRPr="0002445C" w:rsidRDefault="00605BB6" w:rsidP="008D4334">
      <w:pPr>
        <w:spacing w:line="240" w:lineRule="auto"/>
        <w:ind w:left="1080"/>
        <w:rPr>
          <w:rFonts w:ascii="Arial" w:hAnsi="Arial" w:cs="Arial"/>
          <w:sz w:val="20"/>
          <w:szCs w:val="20"/>
        </w:rPr>
      </w:pPr>
      <w:r w:rsidRPr="0002445C">
        <w:rPr>
          <w:rFonts w:ascii="Arial" w:hAnsi="Arial" w:cs="Arial"/>
          <w:sz w:val="20"/>
          <w:szCs w:val="20"/>
        </w:rPr>
        <w:t>Observability refers to whether the satellite directly observed the ground-lit surface under acceptable conditions. In daily NTL analysis, observability depends on cloud cover, atmospheric conditions, quality flags, viewing geometry, spatial support, and whether the value comes from direct DNB-BRDF observation or temporal gap filling. Interpretability refers to whether the observed signal can support a claim about a real process such as outage, restoration, activity, or recovery. These concepts should remain distinct: a time series can be numerically complete but poorly observed, and a radiance anomaly can be observable but not necessarily interpretable as recovery without context or validation (Principe et al., 2026; Levin, 2025).</w:t>
      </w:r>
    </w:p>
    <w:p w14:paraId="2E6C6AB1" w14:textId="103454F4" w:rsidR="00605BB6" w:rsidRDefault="00605BB6" w:rsidP="008D4334">
      <w:pPr>
        <w:pStyle w:val="Heading2"/>
        <w:numPr>
          <w:ilvl w:val="0"/>
          <w:numId w:val="6"/>
        </w:numPr>
        <w:spacing w:line="240" w:lineRule="auto"/>
        <w:rPr>
          <w:rFonts w:ascii="Arial" w:hAnsi="Arial" w:cs="Arial"/>
          <w:color w:val="0432FF"/>
          <w:sz w:val="20"/>
          <w:szCs w:val="20"/>
        </w:rPr>
      </w:pPr>
      <w:r w:rsidRPr="00CE7CCE">
        <w:rPr>
          <w:rFonts w:ascii="Arial" w:hAnsi="Arial" w:cs="Arial"/>
          <w:color w:val="0432FF"/>
          <w:sz w:val="20"/>
          <w:szCs w:val="20"/>
        </w:rPr>
        <w:t>Working definition of terms</w:t>
      </w:r>
    </w:p>
    <w:p w14:paraId="4D049EF0" w14:textId="77777777" w:rsidR="00CE7CCE" w:rsidRPr="00CE7CCE" w:rsidRDefault="00CE7CCE" w:rsidP="008D4334">
      <w:pPr>
        <w:spacing w:line="240" w:lineRule="auto"/>
      </w:pPr>
    </w:p>
    <w:tbl>
      <w:tblPr>
        <w:tblStyle w:val="TableGrid"/>
        <w:tblW w:w="0" w:type="auto"/>
        <w:tblInd w:w="988" w:type="dxa"/>
        <w:tblLook w:val="04A0" w:firstRow="1" w:lastRow="0" w:firstColumn="1" w:lastColumn="0" w:noHBand="0" w:noVBand="1"/>
      </w:tblPr>
      <w:tblGrid>
        <w:gridCol w:w="1842"/>
        <w:gridCol w:w="6952"/>
      </w:tblGrid>
      <w:tr w:rsidR="00605BB6" w:rsidRPr="00A65DAE" w14:paraId="47B78B2C" w14:textId="77777777" w:rsidTr="00CE7CCE">
        <w:tc>
          <w:tcPr>
            <w:tcW w:w="1842" w:type="dxa"/>
            <w:shd w:val="clear" w:color="auto" w:fill="D9EAF7"/>
          </w:tcPr>
          <w:p w14:paraId="1045C299" w14:textId="77777777" w:rsidR="00605BB6" w:rsidRPr="00A65DAE" w:rsidRDefault="00605BB6" w:rsidP="008D4334">
            <w:pPr>
              <w:spacing w:line="240" w:lineRule="auto"/>
              <w:rPr>
                <w:rFonts w:ascii="Arial" w:hAnsi="Arial" w:cs="Arial"/>
                <w:b/>
                <w:bCs/>
                <w:sz w:val="20"/>
                <w:szCs w:val="20"/>
              </w:rPr>
            </w:pPr>
            <w:r w:rsidRPr="00A65DAE">
              <w:rPr>
                <w:rFonts w:ascii="Arial" w:hAnsi="Arial" w:cs="Arial"/>
                <w:b/>
                <w:bCs/>
                <w:sz w:val="20"/>
                <w:szCs w:val="20"/>
              </w:rPr>
              <w:t>Term</w:t>
            </w:r>
          </w:p>
        </w:tc>
        <w:tc>
          <w:tcPr>
            <w:tcW w:w="6952" w:type="dxa"/>
            <w:shd w:val="clear" w:color="auto" w:fill="D9EAF7"/>
          </w:tcPr>
          <w:p w14:paraId="5F472732" w14:textId="77777777" w:rsidR="00605BB6" w:rsidRPr="00A65DAE" w:rsidRDefault="00605BB6" w:rsidP="008D4334">
            <w:pPr>
              <w:spacing w:line="240" w:lineRule="auto"/>
              <w:rPr>
                <w:rFonts w:ascii="Arial" w:hAnsi="Arial" w:cs="Arial"/>
                <w:b/>
                <w:bCs/>
                <w:sz w:val="20"/>
                <w:szCs w:val="20"/>
              </w:rPr>
            </w:pPr>
            <w:r w:rsidRPr="00A65DAE">
              <w:rPr>
                <w:rFonts w:ascii="Arial" w:hAnsi="Arial" w:cs="Arial"/>
                <w:b/>
                <w:bCs/>
                <w:sz w:val="20"/>
                <w:szCs w:val="20"/>
              </w:rPr>
              <w:t>Working definition</w:t>
            </w:r>
          </w:p>
        </w:tc>
      </w:tr>
      <w:tr w:rsidR="00605BB6" w:rsidRPr="00A65DAE" w14:paraId="086CB8BA" w14:textId="77777777" w:rsidTr="00CE7CCE">
        <w:tc>
          <w:tcPr>
            <w:tcW w:w="1842" w:type="dxa"/>
          </w:tcPr>
          <w:p w14:paraId="6762E0F0"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Disaster</w:t>
            </w:r>
          </w:p>
        </w:tc>
        <w:tc>
          <w:tcPr>
            <w:tcW w:w="6952" w:type="dxa"/>
          </w:tcPr>
          <w:p w14:paraId="575C3BBD"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A serious disruption caused by hazardous events interacting with exposure, vulnerability, and capacity, producing losses beyond local coping capacity.</w:t>
            </w:r>
          </w:p>
        </w:tc>
      </w:tr>
      <w:tr w:rsidR="00605BB6" w:rsidRPr="00A65DAE" w14:paraId="0A8A742F" w14:textId="77777777" w:rsidTr="00CE7CCE">
        <w:tc>
          <w:tcPr>
            <w:tcW w:w="1842" w:type="dxa"/>
          </w:tcPr>
          <w:p w14:paraId="4DF75CBC"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Hazard</w:t>
            </w:r>
          </w:p>
        </w:tc>
        <w:tc>
          <w:tcPr>
            <w:tcW w:w="6952" w:type="dxa"/>
          </w:tcPr>
          <w:p w14:paraId="25AD75BC"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A potentially damaging physical event or process such as a typhoon, flood, storm surge, earthquake, or volcanic eruption.</w:t>
            </w:r>
          </w:p>
        </w:tc>
      </w:tr>
      <w:tr w:rsidR="00605BB6" w:rsidRPr="00A65DAE" w14:paraId="07E2F3FD" w14:textId="77777777" w:rsidTr="00CE7CCE">
        <w:tc>
          <w:tcPr>
            <w:tcW w:w="1842" w:type="dxa"/>
          </w:tcPr>
          <w:p w14:paraId="7C97DC1A"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Exposure</w:t>
            </w:r>
          </w:p>
        </w:tc>
        <w:tc>
          <w:tcPr>
            <w:tcW w:w="6952" w:type="dxa"/>
          </w:tcPr>
          <w:p w14:paraId="68E3D804"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The presence of people, settlements, infrastructure, assets, and services in places that could be affected by hazards.</w:t>
            </w:r>
          </w:p>
        </w:tc>
      </w:tr>
      <w:tr w:rsidR="00605BB6" w:rsidRPr="00A65DAE" w14:paraId="36D3C396" w14:textId="77777777" w:rsidTr="00CE7CCE">
        <w:tc>
          <w:tcPr>
            <w:tcW w:w="1842" w:type="dxa"/>
          </w:tcPr>
          <w:p w14:paraId="28B6DEEB"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Vulnerability</w:t>
            </w:r>
          </w:p>
        </w:tc>
        <w:tc>
          <w:tcPr>
            <w:tcW w:w="6952" w:type="dxa"/>
          </w:tcPr>
          <w:p w14:paraId="0A92A515"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Conditions that make exposed people, systems, or assets susceptible to harm.</w:t>
            </w:r>
          </w:p>
        </w:tc>
      </w:tr>
      <w:tr w:rsidR="00605BB6" w:rsidRPr="00A65DAE" w14:paraId="1787047D" w14:textId="77777777" w:rsidTr="00CE7CCE">
        <w:tc>
          <w:tcPr>
            <w:tcW w:w="1842" w:type="dxa"/>
          </w:tcPr>
          <w:p w14:paraId="75032ABB"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Capacity</w:t>
            </w:r>
          </w:p>
        </w:tc>
        <w:tc>
          <w:tcPr>
            <w:tcW w:w="6952" w:type="dxa"/>
          </w:tcPr>
          <w:p w14:paraId="158B2E97"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Resources and strengths available to anticipate, cope with, respond to, and recover from hazard impacts.</w:t>
            </w:r>
          </w:p>
        </w:tc>
      </w:tr>
      <w:tr w:rsidR="00605BB6" w:rsidRPr="00A65DAE" w14:paraId="4AB16772" w14:textId="77777777" w:rsidTr="00CE7CCE">
        <w:tc>
          <w:tcPr>
            <w:tcW w:w="1842" w:type="dxa"/>
          </w:tcPr>
          <w:p w14:paraId="31C3FAA4"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Recovery</w:t>
            </w:r>
          </w:p>
        </w:tc>
        <w:tc>
          <w:tcPr>
            <w:tcW w:w="6952" w:type="dxa"/>
          </w:tcPr>
          <w:p w14:paraId="46732724"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The process of restoring, reorganizing, or transforming physical, functional, social, economic, and institutional conditions after disaster.</w:t>
            </w:r>
          </w:p>
        </w:tc>
      </w:tr>
      <w:tr w:rsidR="00605BB6" w:rsidRPr="00A65DAE" w14:paraId="4A3E8E80" w14:textId="77777777" w:rsidTr="00CE7CCE">
        <w:tc>
          <w:tcPr>
            <w:tcW w:w="1842" w:type="dxa"/>
          </w:tcPr>
          <w:p w14:paraId="12DA5250"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Rehabilitation</w:t>
            </w:r>
          </w:p>
        </w:tc>
        <w:tc>
          <w:tcPr>
            <w:tcW w:w="6952" w:type="dxa"/>
          </w:tcPr>
          <w:p w14:paraId="5C948EFE"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Restoration of basic services and conditions needed for immediate functioning and survival.</w:t>
            </w:r>
          </w:p>
        </w:tc>
      </w:tr>
      <w:tr w:rsidR="00605BB6" w:rsidRPr="00A65DAE" w14:paraId="0A9F8B1A" w14:textId="77777777" w:rsidTr="00CE7CCE">
        <w:tc>
          <w:tcPr>
            <w:tcW w:w="1842" w:type="dxa"/>
          </w:tcPr>
          <w:p w14:paraId="5CED9160"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Reconstruction</w:t>
            </w:r>
          </w:p>
        </w:tc>
        <w:tc>
          <w:tcPr>
            <w:tcW w:w="6952" w:type="dxa"/>
          </w:tcPr>
          <w:p w14:paraId="20EEF7A7"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Rebuilding of damaged housing, infrastructure, services, and physical assets.</w:t>
            </w:r>
          </w:p>
        </w:tc>
      </w:tr>
      <w:tr w:rsidR="00605BB6" w:rsidRPr="00A65DAE" w14:paraId="2EA638BC" w14:textId="77777777" w:rsidTr="00CE7CCE">
        <w:tc>
          <w:tcPr>
            <w:tcW w:w="1842" w:type="dxa"/>
          </w:tcPr>
          <w:p w14:paraId="25A81839"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Resilience</w:t>
            </w:r>
          </w:p>
        </w:tc>
        <w:tc>
          <w:tcPr>
            <w:tcW w:w="6952" w:type="dxa"/>
          </w:tcPr>
          <w:p w14:paraId="3CB609E4"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Ability of a system, community, or society to resist, absorb, adapt to, and recover from hazard impacts while preserving or restoring essential functions.</w:t>
            </w:r>
          </w:p>
        </w:tc>
      </w:tr>
      <w:tr w:rsidR="00605BB6" w:rsidRPr="00A65DAE" w14:paraId="7B8C761D" w14:textId="77777777" w:rsidTr="00CE7CCE">
        <w:tc>
          <w:tcPr>
            <w:tcW w:w="1842" w:type="dxa"/>
          </w:tcPr>
          <w:p w14:paraId="39DB5405"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Internal displacement</w:t>
            </w:r>
          </w:p>
        </w:tc>
        <w:tc>
          <w:tcPr>
            <w:tcW w:w="6952" w:type="dxa"/>
          </w:tcPr>
          <w:p w14:paraId="2E3327D9"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Forced or obliged movement of people within national borders, often due to hazards, conflict, or development pressures.</w:t>
            </w:r>
          </w:p>
        </w:tc>
      </w:tr>
      <w:tr w:rsidR="00605BB6" w:rsidRPr="00A65DAE" w14:paraId="377366E9" w14:textId="77777777" w:rsidTr="00CE7CCE">
        <w:tc>
          <w:tcPr>
            <w:tcW w:w="1842" w:type="dxa"/>
          </w:tcPr>
          <w:p w14:paraId="569C1EE9"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Post-disaster resettlement</w:t>
            </w:r>
          </w:p>
        </w:tc>
        <w:tc>
          <w:tcPr>
            <w:tcW w:w="6952" w:type="dxa"/>
          </w:tcPr>
          <w:p w14:paraId="3E5AAB88"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Planned relocation of disaster-affected or hazard-exposed populations to new sites intended to reduce future risk.</w:t>
            </w:r>
          </w:p>
        </w:tc>
      </w:tr>
      <w:tr w:rsidR="00605BB6" w:rsidRPr="00A65DAE" w14:paraId="0D3D291A" w14:textId="77777777" w:rsidTr="00CE7CCE">
        <w:tc>
          <w:tcPr>
            <w:tcW w:w="1842" w:type="dxa"/>
          </w:tcPr>
          <w:p w14:paraId="613FBEB3"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GHSL / GHS-SMOD</w:t>
            </w:r>
          </w:p>
        </w:tc>
        <w:tc>
          <w:tcPr>
            <w:tcW w:w="6952" w:type="dxa"/>
          </w:tcPr>
          <w:p w14:paraId="6583D2DC"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Global settlement layers that classify built-up and settlement morphology using population and built-surface information.</w:t>
            </w:r>
          </w:p>
        </w:tc>
      </w:tr>
      <w:tr w:rsidR="00605BB6" w:rsidRPr="00A65DAE" w14:paraId="26D7E294" w14:textId="77777777" w:rsidTr="00CE7CCE">
        <w:tc>
          <w:tcPr>
            <w:tcW w:w="1842" w:type="dxa"/>
          </w:tcPr>
          <w:p w14:paraId="7E5E827D"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Nighttime lights</w:t>
            </w:r>
          </w:p>
        </w:tc>
        <w:tc>
          <w:tcPr>
            <w:tcW w:w="6952" w:type="dxa"/>
          </w:tcPr>
          <w:p w14:paraId="0AC0F085"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Satellite-observed nocturnal radiance from artificial and other luminous sources, commonly used as a proxy for electrified activity.</w:t>
            </w:r>
          </w:p>
        </w:tc>
      </w:tr>
      <w:tr w:rsidR="00605BB6" w:rsidRPr="00A65DAE" w14:paraId="056219FD" w14:textId="77777777" w:rsidTr="00CE7CCE">
        <w:tc>
          <w:tcPr>
            <w:tcW w:w="1842" w:type="dxa"/>
          </w:tcPr>
          <w:p w14:paraId="431C0D73"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DNB-BRDF</w:t>
            </w:r>
          </w:p>
        </w:tc>
        <w:tc>
          <w:tcPr>
            <w:tcW w:w="6952" w:type="dxa"/>
          </w:tcPr>
          <w:p w14:paraId="263CCBC5"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 xml:space="preserve">Black Marble daily BRDF-corrected nighttime-light radiance, commonly represented as </w:t>
            </w:r>
            <w:proofErr w:type="spellStart"/>
            <w:r w:rsidRPr="00A65DAE">
              <w:rPr>
                <w:rFonts w:ascii="Arial" w:hAnsi="Arial" w:cs="Arial"/>
                <w:sz w:val="20"/>
                <w:szCs w:val="20"/>
              </w:rPr>
              <w:t>DNB_BRDF_Corrected_NTL</w:t>
            </w:r>
            <w:proofErr w:type="spellEnd"/>
            <w:r w:rsidRPr="00A65DAE">
              <w:rPr>
                <w:rFonts w:ascii="Arial" w:hAnsi="Arial" w:cs="Arial"/>
                <w:sz w:val="20"/>
                <w:szCs w:val="20"/>
              </w:rPr>
              <w:t>.</w:t>
            </w:r>
          </w:p>
        </w:tc>
      </w:tr>
      <w:tr w:rsidR="00605BB6" w:rsidRPr="00A65DAE" w14:paraId="45FA97AB" w14:textId="77777777" w:rsidTr="00CE7CCE">
        <w:tc>
          <w:tcPr>
            <w:tcW w:w="1842" w:type="dxa"/>
          </w:tcPr>
          <w:p w14:paraId="1F8BB516"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lastRenderedPageBreak/>
              <w:t>Observability</w:t>
            </w:r>
          </w:p>
        </w:tc>
        <w:tc>
          <w:tcPr>
            <w:tcW w:w="6952" w:type="dxa"/>
          </w:tcPr>
          <w:p w14:paraId="4DAECCFB"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Whether the satellite directly observed the ground-lit surface under acceptable atmospheric, quality, and geometric conditions.</w:t>
            </w:r>
          </w:p>
        </w:tc>
      </w:tr>
      <w:tr w:rsidR="00605BB6" w:rsidRPr="00A65DAE" w14:paraId="395C374A" w14:textId="77777777" w:rsidTr="00CE7CCE">
        <w:tc>
          <w:tcPr>
            <w:tcW w:w="1842" w:type="dxa"/>
          </w:tcPr>
          <w:p w14:paraId="399956D6"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Interpretability</w:t>
            </w:r>
          </w:p>
        </w:tc>
        <w:tc>
          <w:tcPr>
            <w:tcW w:w="6952" w:type="dxa"/>
          </w:tcPr>
          <w:p w14:paraId="4AA50FCE" w14:textId="77777777" w:rsidR="00605BB6" w:rsidRPr="00A65DAE" w:rsidRDefault="00605BB6" w:rsidP="008D4334">
            <w:pPr>
              <w:spacing w:line="240" w:lineRule="auto"/>
              <w:rPr>
                <w:rFonts w:ascii="Arial" w:hAnsi="Arial" w:cs="Arial"/>
                <w:sz w:val="20"/>
                <w:szCs w:val="20"/>
              </w:rPr>
            </w:pPr>
            <w:r w:rsidRPr="00A65DAE">
              <w:rPr>
                <w:rFonts w:ascii="Arial" w:hAnsi="Arial" w:cs="Arial"/>
                <w:sz w:val="20"/>
                <w:szCs w:val="20"/>
              </w:rPr>
              <w:t>Whether an observed NTL signal can defensibly support a claim about outage, activity, recovery, or another real process.</w:t>
            </w:r>
          </w:p>
        </w:tc>
      </w:tr>
    </w:tbl>
    <w:p w14:paraId="7256855A" w14:textId="77777777" w:rsidR="00605BB6" w:rsidRDefault="00605BB6" w:rsidP="008D4334">
      <w:pPr>
        <w:spacing w:line="240" w:lineRule="auto"/>
        <w:rPr>
          <w:rFonts w:ascii="Arial" w:hAnsi="Arial" w:cs="Arial"/>
          <w:sz w:val="20"/>
          <w:szCs w:val="20"/>
        </w:rPr>
      </w:pPr>
    </w:p>
    <w:p w14:paraId="4A5F8A6D" w14:textId="77777777" w:rsidR="00F77A33" w:rsidRDefault="00F77A33" w:rsidP="008D4334">
      <w:pPr>
        <w:spacing w:line="240" w:lineRule="auto"/>
        <w:rPr>
          <w:rFonts w:ascii="Arial" w:hAnsi="Arial" w:cs="Arial"/>
          <w:sz w:val="20"/>
          <w:szCs w:val="20"/>
        </w:rPr>
      </w:pPr>
    </w:p>
    <w:p w14:paraId="30BBE326" w14:textId="77777777" w:rsidR="00F77A33" w:rsidRDefault="00F77A33" w:rsidP="008D4334">
      <w:pPr>
        <w:spacing w:line="240" w:lineRule="auto"/>
        <w:rPr>
          <w:rFonts w:ascii="Arial" w:hAnsi="Arial" w:cs="Arial"/>
          <w:sz w:val="20"/>
          <w:szCs w:val="20"/>
        </w:rPr>
      </w:pPr>
    </w:p>
    <w:p w14:paraId="081C0B91" w14:textId="77777777" w:rsidR="00F77A33" w:rsidRDefault="00F77A33" w:rsidP="008D4334">
      <w:pPr>
        <w:spacing w:line="240" w:lineRule="auto"/>
        <w:rPr>
          <w:rFonts w:ascii="Arial" w:hAnsi="Arial" w:cs="Arial"/>
          <w:sz w:val="20"/>
          <w:szCs w:val="20"/>
        </w:rPr>
      </w:pPr>
    </w:p>
    <w:p w14:paraId="59A4C77F" w14:textId="77777777" w:rsidR="00F77A33" w:rsidRDefault="00F77A33" w:rsidP="008D4334">
      <w:pPr>
        <w:spacing w:line="240" w:lineRule="auto"/>
        <w:rPr>
          <w:rFonts w:ascii="Arial" w:hAnsi="Arial" w:cs="Arial"/>
          <w:sz w:val="20"/>
          <w:szCs w:val="20"/>
        </w:rPr>
      </w:pPr>
    </w:p>
    <w:p w14:paraId="32A38E10" w14:textId="77777777" w:rsidR="00F77A33" w:rsidRDefault="00F77A33" w:rsidP="008D4334">
      <w:pPr>
        <w:spacing w:line="240" w:lineRule="auto"/>
        <w:rPr>
          <w:rFonts w:ascii="Arial" w:hAnsi="Arial" w:cs="Arial"/>
          <w:sz w:val="20"/>
          <w:szCs w:val="20"/>
        </w:rPr>
      </w:pPr>
    </w:p>
    <w:p w14:paraId="26EE3D7B" w14:textId="77777777" w:rsidR="00F77A33" w:rsidRDefault="00F77A33" w:rsidP="008D4334">
      <w:pPr>
        <w:spacing w:line="240" w:lineRule="auto"/>
        <w:rPr>
          <w:rFonts w:ascii="Arial" w:hAnsi="Arial" w:cs="Arial"/>
          <w:sz w:val="20"/>
          <w:szCs w:val="20"/>
        </w:rPr>
      </w:pPr>
    </w:p>
    <w:p w14:paraId="0DF7D960" w14:textId="77777777" w:rsidR="00F77A33" w:rsidRDefault="00F77A33" w:rsidP="008D4334">
      <w:pPr>
        <w:spacing w:line="240" w:lineRule="auto"/>
        <w:rPr>
          <w:rFonts w:ascii="Arial" w:hAnsi="Arial" w:cs="Arial"/>
          <w:sz w:val="20"/>
          <w:szCs w:val="20"/>
        </w:rPr>
      </w:pPr>
    </w:p>
    <w:p w14:paraId="564B079A" w14:textId="77777777" w:rsidR="00F77A33" w:rsidRDefault="00F77A33" w:rsidP="008D4334">
      <w:pPr>
        <w:spacing w:line="240" w:lineRule="auto"/>
        <w:rPr>
          <w:rFonts w:ascii="Arial" w:hAnsi="Arial" w:cs="Arial"/>
          <w:sz w:val="20"/>
          <w:szCs w:val="20"/>
        </w:rPr>
      </w:pPr>
    </w:p>
    <w:p w14:paraId="2E0B9F91" w14:textId="77777777" w:rsidR="00F77A33" w:rsidRDefault="00F77A33" w:rsidP="008D4334">
      <w:pPr>
        <w:spacing w:line="240" w:lineRule="auto"/>
        <w:rPr>
          <w:rFonts w:ascii="Arial" w:hAnsi="Arial" w:cs="Arial"/>
          <w:sz w:val="20"/>
          <w:szCs w:val="20"/>
        </w:rPr>
      </w:pPr>
    </w:p>
    <w:p w14:paraId="742E4001" w14:textId="77777777" w:rsidR="00F77A33" w:rsidRDefault="00F77A33" w:rsidP="008D4334">
      <w:pPr>
        <w:spacing w:line="240" w:lineRule="auto"/>
        <w:rPr>
          <w:rFonts w:ascii="Arial" w:hAnsi="Arial" w:cs="Arial"/>
          <w:sz w:val="20"/>
          <w:szCs w:val="20"/>
        </w:rPr>
      </w:pPr>
    </w:p>
    <w:p w14:paraId="7CE77F68" w14:textId="77777777" w:rsidR="00F77A33" w:rsidRDefault="00F77A33" w:rsidP="008D4334">
      <w:pPr>
        <w:spacing w:line="240" w:lineRule="auto"/>
        <w:rPr>
          <w:rFonts w:ascii="Arial" w:hAnsi="Arial" w:cs="Arial"/>
          <w:sz w:val="20"/>
          <w:szCs w:val="20"/>
        </w:rPr>
      </w:pPr>
    </w:p>
    <w:p w14:paraId="6D9A5454" w14:textId="77777777" w:rsidR="00F77A33" w:rsidRDefault="00F77A33" w:rsidP="008D4334">
      <w:pPr>
        <w:spacing w:line="240" w:lineRule="auto"/>
        <w:rPr>
          <w:rFonts w:ascii="Arial" w:hAnsi="Arial" w:cs="Arial"/>
          <w:sz w:val="20"/>
          <w:szCs w:val="20"/>
        </w:rPr>
      </w:pPr>
    </w:p>
    <w:p w14:paraId="694F7D5E" w14:textId="77777777" w:rsidR="00F77A33" w:rsidRDefault="00F77A33" w:rsidP="008D4334">
      <w:pPr>
        <w:spacing w:line="240" w:lineRule="auto"/>
        <w:rPr>
          <w:rFonts w:ascii="Arial" w:hAnsi="Arial" w:cs="Arial"/>
          <w:sz w:val="20"/>
          <w:szCs w:val="20"/>
        </w:rPr>
      </w:pPr>
    </w:p>
    <w:p w14:paraId="1912E673" w14:textId="77777777" w:rsidR="00F77A33" w:rsidRDefault="00F77A33" w:rsidP="008D4334">
      <w:pPr>
        <w:spacing w:line="240" w:lineRule="auto"/>
        <w:rPr>
          <w:rFonts w:ascii="Arial" w:hAnsi="Arial" w:cs="Arial"/>
          <w:sz w:val="20"/>
          <w:szCs w:val="20"/>
        </w:rPr>
      </w:pPr>
    </w:p>
    <w:p w14:paraId="26F1F74F" w14:textId="77777777" w:rsidR="00F77A33" w:rsidRDefault="00F77A33" w:rsidP="008D4334">
      <w:pPr>
        <w:spacing w:line="240" w:lineRule="auto"/>
        <w:rPr>
          <w:rFonts w:ascii="Arial" w:hAnsi="Arial" w:cs="Arial"/>
          <w:sz w:val="20"/>
          <w:szCs w:val="20"/>
        </w:rPr>
      </w:pPr>
    </w:p>
    <w:p w14:paraId="1B3C5994" w14:textId="77777777" w:rsidR="00F77A33" w:rsidRDefault="00F77A33" w:rsidP="008D4334">
      <w:pPr>
        <w:spacing w:line="240" w:lineRule="auto"/>
        <w:rPr>
          <w:rFonts w:ascii="Arial" w:hAnsi="Arial" w:cs="Arial"/>
          <w:sz w:val="20"/>
          <w:szCs w:val="20"/>
        </w:rPr>
      </w:pPr>
    </w:p>
    <w:p w14:paraId="7C894B52" w14:textId="77777777" w:rsidR="00F77A33" w:rsidRDefault="00F77A33" w:rsidP="008D4334">
      <w:pPr>
        <w:spacing w:line="240" w:lineRule="auto"/>
        <w:rPr>
          <w:rFonts w:ascii="Arial" w:hAnsi="Arial" w:cs="Arial"/>
          <w:sz w:val="20"/>
          <w:szCs w:val="20"/>
        </w:rPr>
      </w:pPr>
    </w:p>
    <w:p w14:paraId="4B4CA213" w14:textId="77777777" w:rsidR="00F77A33" w:rsidRDefault="00F77A33" w:rsidP="008D4334">
      <w:pPr>
        <w:spacing w:line="240" w:lineRule="auto"/>
        <w:rPr>
          <w:rFonts w:ascii="Arial" w:hAnsi="Arial" w:cs="Arial"/>
          <w:sz w:val="20"/>
          <w:szCs w:val="20"/>
        </w:rPr>
      </w:pPr>
    </w:p>
    <w:p w14:paraId="55EB7CBC" w14:textId="77777777" w:rsidR="00F77A33" w:rsidRDefault="00F77A33" w:rsidP="008D4334">
      <w:pPr>
        <w:spacing w:line="240" w:lineRule="auto"/>
        <w:rPr>
          <w:rFonts w:ascii="Arial" w:hAnsi="Arial" w:cs="Arial"/>
          <w:sz w:val="20"/>
          <w:szCs w:val="20"/>
        </w:rPr>
      </w:pPr>
    </w:p>
    <w:p w14:paraId="686C8AEC" w14:textId="77777777" w:rsidR="00F77A33" w:rsidRDefault="00F77A33" w:rsidP="008D4334">
      <w:pPr>
        <w:spacing w:line="240" w:lineRule="auto"/>
        <w:rPr>
          <w:rFonts w:ascii="Arial" w:hAnsi="Arial" w:cs="Arial"/>
          <w:sz w:val="20"/>
          <w:szCs w:val="20"/>
        </w:rPr>
      </w:pPr>
    </w:p>
    <w:p w14:paraId="3C29E8B3" w14:textId="77777777" w:rsidR="00F77A33" w:rsidRDefault="00F77A33" w:rsidP="008D4334">
      <w:pPr>
        <w:spacing w:line="240" w:lineRule="auto"/>
        <w:rPr>
          <w:rFonts w:ascii="Arial" w:hAnsi="Arial" w:cs="Arial"/>
          <w:sz w:val="20"/>
          <w:szCs w:val="20"/>
        </w:rPr>
      </w:pPr>
    </w:p>
    <w:p w14:paraId="72B11438" w14:textId="77777777" w:rsidR="0089160C" w:rsidRDefault="0089160C" w:rsidP="008D4334">
      <w:pPr>
        <w:spacing w:line="240" w:lineRule="auto"/>
        <w:rPr>
          <w:rFonts w:ascii="Arial" w:hAnsi="Arial" w:cs="Arial"/>
          <w:sz w:val="20"/>
          <w:szCs w:val="20"/>
        </w:rPr>
      </w:pPr>
    </w:p>
    <w:p w14:paraId="52020640" w14:textId="77777777" w:rsidR="0089160C" w:rsidRDefault="0089160C" w:rsidP="008D4334">
      <w:pPr>
        <w:spacing w:line="240" w:lineRule="auto"/>
        <w:rPr>
          <w:rFonts w:ascii="Arial" w:hAnsi="Arial" w:cs="Arial"/>
          <w:sz w:val="20"/>
          <w:szCs w:val="20"/>
        </w:rPr>
      </w:pPr>
    </w:p>
    <w:p w14:paraId="214FFA8F" w14:textId="77777777" w:rsidR="0089160C" w:rsidRDefault="0089160C" w:rsidP="008D4334">
      <w:pPr>
        <w:spacing w:line="240" w:lineRule="auto"/>
        <w:rPr>
          <w:rFonts w:ascii="Arial" w:hAnsi="Arial" w:cs="Arial"/>
          <w:sz w:val="20"/>
          <w:szCs w:val="20"/>
        </w:rPr>
      </w:pPr>
    </w:p>
    <w:p w14:paraId="41FA006F" w14:textId="77777777" w:rsidR="0089160C" w:rsidRDefault="0089160C" w:rsidP="008D4334">
      <w:pPr>
        <w:spacing w:line="240" w:lineRule="auto"/>
        <w:rPr>
          <w:rFonts w:ascii="Arial" w:hAnsi="Arial" w:cs="Arial"/>
          <w:sz w:val="20"/>
          <w:szCs w:val="20"/>
        </w:rPr>
      </w:pPr>
    </w:p>
    <w:p w14:paraId="3192AA6D" w14:textId="77777777" w:rsidR="0089160C" w:rsidRDefault="0089160C" w:rsidP="008D4334">
      <w:pPr>
        <w:spacing w:line="240" w:lineRule="auto"/>
        <w:rPr>
          <w:rFonts w:ascii="Arial" w:hAnsi="Arial" w:cs="Arial"/>
          <w:sz w:val="20"/>
          <w:szCs w:val="20"/>
        </w:rPr>
      </w:pPr>
    </w:p>
    <w:p w14:paraId="524453E7" w14:textId="77777777" w:rsidR="0089160C" w:rsidRDefault="0089160C" w:rsidP="008D4334">
      <w:pPr>
        <w:spacing w:line="240" w:lineRule="auto"/>
        <w:rPr>
          <w:rFonts w:ascii="Arial" w:hAnsi="Arial" w:cs="Arial"/>
          <w:sz w:val="20"/>
          <w:szCs w:val="20"/>
        </w:rPr>
      </w:pPr>
    </w:p>
    <w:p w14:paraId="7F570F1E" w14:textId="77777777" w:rsidR="0089160C" w:rsidRDefault="0089160C" w:rsidP="008D4334">
      <w:pPr>
        <w:spacing w:line="240" w:lineRule="auto"/>
        <w:rPr>
          <w:rFonts w:ascii="Arial" w:hAnsi="Arial" w:cs="Arial"/>
          <w:sz w:val="20"/>
          <w:szCs w:val="20"/>
        </w:rPr>
      </w:pPr>
    </w:p>
    <w:p w14:paraId="790A5FC4" w14:textId="77777777" w:rsidR="0089160C" w:rsidRDefault="0089160C" w:rsidP="008D4334">
      <w:pPr>
        <w:spacing w:line="240" w:lineRule="auto"/>
        <w:rPr>
          <w:rFonts w:ascii="Arial" w:hAnsi="Arial" w:cs="Arial"/>
          <w:sz w:val="20"/>
          <w:szCs w:val="20"/>
        </w:rPr>
      </w:pPr>
    </w:p>
    <w:p w14:paraId="52B5060D" w14:textId="77777777" w:rsidR="0089160C" w:rsidRDefault="0089160C" w:rsidP="008D4334">
      <w:pPr>
        <w:spacing w:line="240" w:lineRule="auto"/>
        <w:rPr>
          <w:rFonts w:ascii="Arial" w:hAnsi="Arial" w:cs="Arial"/>
          <w:sz w:val="20"/>
          <w:szCs w:val="20"/>
        </w:rPr>
      </w:pPr>
    </w:p>
    <w:p w14:paraId="33963E40" w14:textId="77777777" w:rsidR="0089160C" w:rsidRDefault="0089160C" w:rsidP="008D4334">
      <w:pPr>
        <w:spacing w:line="240" w:lineRule="auto"/>
        <w:rPr>
          <w:rFonts w:ascii="Arial" w:hAnsi="Arial" w:cs="Arial"/>
          <w:sz w:val="20"/>
          <w:szCs w:val="20"/>
        </w:rPr>
      </w:pPr>
    </w:p>
    <w:p w14:paraId="737DF8C3" w14:textId="77777777" w:rsidR="0089160C" w:rsidRDefault="0089160C" w:rsidP="008D4334">
      <w:pPr>
        <w:spacing w:line="240" w:lineRule="auto"/>
        <w:rPr>
          <w:rFonts w:ascii="Arial" w:hAnsi="Arial" w:cs="Arial"/>
          <w:sz w:val="20"/>
          <w:szCs w:val="20"/>
        </w:rPr>
      </w:pPr>
    </w:p>
    <w:p w14:paraId="7034AEB2" w14:textId="77777777" w:rsidR="0089160C" w:rsidRPr="0002445C" w:rsidRDefault="0089160C" w:rsidP="008D4334">
      <w:pPr>
        <w:spacing w:line="240" w:lineRule="auto"/>
        <w:rPr>
          <w:rFonts w:ascii="Arial" w:hAnsi="Arial" w:cs="Arial"/>
          <w:sz w:val="20"/>
          <w:szCs w:val="20"/>
        </w:rPr>
      </w:pPr>
    </w:p>
    <w:p w14:paraId="495EA3E3" w14:textId="2E92AF5D" w:rsidR="00985108" w:rsidRPr="001B71BE" w:rsidRDefault="00DB307E" w:rsidP="008D4334">
      <w:pPr>
        <w:pStyle w:val="Heading1"/>
        <w:spacing w:line="240" w:lineRule="auto"/>
        <w:rPr>
          <w:rFonts w:ascii="Arial" w:hAnsi="Arial" w:cs="Arial"/>
          <w:color w:val="000000" w:themeColor="text1"/>
          <w:sz w:val="28"/>
          <w:szCs w:val="32"/>
        </w:rPr>
      </w:pPr>
      <w:r w:rsidRPr="001B71BE">
        <w:rPr>
          <w:rFonts w:ascii="Arial" w:hAnsi="Arial" w:cs="Arial"/>
          <w:color w:val="000000" w:themeColor="text1"/>
          <w:sz w:val="28"/>
          <w:szCs w:val="32"/>
        </w:rPr>
        <w:lastRenderedPageBreak/>
        <w:t>Chapter</w:t>
      </w:r>
      <w:r w:rsidR="00856A47" w:rsidRPr="001B71BE">
        <w:rPr>
          <w:rFonts w:ascii="Arial" w:hAnsi="Arial" w:cs="Arial"/>
          <w:color w:val="000000" w:themeColor="text1"/>
          <w:sz w:val="28"/>
          <w:szCs w:val="32"/>
        </w:rPr>
        <w:t xml:space="preserve"> </w:t>
      </w:r>
      <w:r w:rsidR="0081319E">
        <w:rPr>
          <w:rFonts w:ascii="Arial" w:hAnsi="Arial" w:cs="Arial"/>
          <w:color w:val="000000" w:themeColor="text1"/>
          <w:sz w:val="28"/>
          <w:szCs w:val="32"/>
        </w:rPr>
        <w:t>2</w:t>
      </w:r>
      <w:r w:rsidR="00856A47" w:rsidRPr="001B71BE">
        <w:rPr>
          <w:rFonts w:ascii="Arial" w:hAnsi="Arial" w:cs="Arial"/>
          <w:color w:val="000000" w:themeColor="text1"/>
          <w:sz w:val="28"/>
          <w:szCs w:val="32"/>
        </w:rPr>
        <w:t xml:space="preserve">: </w:t>
      </w:r>
      <w:r w:rsidRPr="001B71BE">
        <w:rPr>
          <w:rFonts w:ascii="Arial" w:hAnsi="Arial" w:cs="Arial"/>
          <w:color w:val="000000" w:themeColor="text1"/>
          <w:sz w:val="28"/>
          <w:szCs w:val="32"/>
        </w:rPr>
        <w:t xml:space="preserve"> </w:t>
      </w:r>
      <w:r w:rsidR="00856A47" w:rsidRPr="001B71BE">
        <w:rPr>
          <w:rFonts w:ascii="Arial" w:hAnsi="Arial" w:cs="Arial"/>
          <w:color w:val="000000" w:themeColor="text1"/>
          <w:sz w:val="28"/>
          <w:szCs w:val="32"/>
        </w:rPr>
        <w:t>C</w:t>
      </w:r>
      <w:r w:rsidRPr="001B71BE">
        <w:rPr>
          <w:rFonts w:ascii="Arial" w:hAnsi="Arial" w:cs="Arial"/>
          <w:color w:val="000000" w:themeColor="text1"/>
          <w:sz w:val="28"/>
          <w:szCs w:val="32"/>
        </w:rPr>
        <w:t xml:space="preserve">ritical </w:t>
      </w:r>
      <w:r w:rsidR="00856A47" w:rsidRPr="001B71BE">
        <w:rPr>
          <w:rFonts w:ascii="Arial" w:hAnsi="Arial" w:cs="Arial"/>
          <w:color w:val="000000" w:themeColor="text1"/>
          <w:sz w:val="28"/>
          <w:szCs w:val="32"/>
        </w:rPr>
        <w:t>R</w:t>
      </w:r>
      <w:r w:rsidRPr="001B71BE">
        <w:rPr>
          <w:rFonts w:ascii="Arial" w:hAnsi="Arial" w:cs="Arial"/>
          <w:color w:val="000000" w:themeColor="text1"/>
          <w:sz w:val="28"/>
          <w:szCs w:val="32"/>
        </w:rPr>
        <w:t>eview</w:t>
      </w:r>
      <w:r w:rsidR="00856A47" w:rsidRPr="001B71BE">
        <w:rPr>
          <w:rFonts w:ascii="Arial" w:hAnsi="Arial" w:cs="Arial"/>
          <w:color w:val="000000" w:themeColor="text1"/>
          <w:sz w:val="28"/>
          <w:szCs w:val="32"/>
        </w:rPr>
        <w:t xml:space="preserve"> of Journal Articles</w:t>
      </w:r>
    </w:p>
    <w:p w14:paraId="4EC22689" w14:textId="61B14338" w:rsidR="00985108" w:rsidRPr="00F77A33" w:rsidRDefault="00856A47" w:rsidP="008D4334">
      <w:pPr>
        <w:pStyle w:val="Heading2"/>
        <w:spacing w:line="240" w:lineRule="auto"/>
        <w:rPr>
          <w:rFonts w:ascii="Arial" w:hAnsi="Arial" w:cs="Arial"/>
          <w:color w:val="0432FF"/>
        </w:rPr>
      </w:pPr>
      <w:r w:rsidRPr="00F77A33">
        <w:rPr>
          <w:rFonts w:ascii="Arial" w:hAnsi="Arial" w:cs="Arial"/>
          <w:color w:val="0432FF"/>
        </w:rPr>
        <w:t xml:space="preserve">I. </w:t>
      </w:r>
      <w:proofErr w:type="spellStart"/>
      <w:r w:rsidRPr="00F77A33">
        <w:rPr>
          <w:rFonts w:ascii="Arial" w:hAnsi="Arial" w:cs="Arial"/>
          <w:color w:val="0432FF"/>
        </w:rPr>
        <w:t>Ghaffarian</w:t>
      </w:r>
      <w:proofErr w:type="spellEnd"/>
      <w:r w:rsidRPr="00F77A33">
        <w:rPr>
          <w:rFonts w:ascii="Arial" w:hAnsi="Arial" w:cs="Arial"/>
          <w:color w:val="0432FF"/>
        </w:rPr>
        <w:t xml:space="preserve"> - Post-disaster recovery assessment using remote sensing-based proxies</w:t>
      </w:r>
    </w:p>
    <w:p w14:paraId="1F23A4C5" w14:textId="77777777" w:rsidR="00856A47" w:rsidRDefault="00856A47" w:rsidP="008D4334">
      <w:pPr>
        <w:spacing w:line="240" w:lineRule="auto"/>
        <w:ind w:left="720"/>
        <w:rPr>
          <w:rFonts w:ascii="Arial" w:hAnsi="Arial" w:cs="Arial"/>
        </w:rPr>
      </w:pPr>
    </w:p>
    <w:p w14:paraId="094D4544" w14:textId="43DD62C9" w:rsidR="00985108" w:rsidRPr="00DF1384" w:rsidRDefault="009E37BA" w:rsidP="008D4334">
      <w:pPr>
        <w:spacing w:line="240" w:lineRule="auto"/>
        <w:ind w:left="720"/>
        <w:rPr>
          <w:rFonts w:ascii="Arial" w:hAnsi="Arial" w:cs="Arial"/>
        </w:rPr>
      </w:pPr>
      <w:proofErr w:type="spellStart"/>
      <w:r w:rsidRPr="00DF1384">
        <w:rPr>
          <w:rFonts w:ascii="Arial" w:hAnsi="Arial" w:cs="Arial"/>
        </w:rPr>
        <w:t>Ghaffarian's</w:t>
      </w:r>
      <w:proofErr w:type="spellEnd"/>
      <w:r w:rsidRPr="00DF1384">
        <w:rPr>
          <w:rFonts w:ascii="Arial" w:hAnsi="Arial" w:cs="Arial"/>
        </w:rPr>
        <w:t xml:space="preserve"> doctoral work provides a foundational structure for thinking about disaster recovery as a multi-dimensional proxy problem rather than as a single observable outcome. The thesis distinguishes between disaster response, rehabilitation, reconstruction, recovery, resilience, and build-back-better, and places remote sensing within a broader disaster risk management cycle. This distinction is important because satellite observations do not measure recovery directly. Instead, they detect material or functional traces that can be interpreted as proxies for </w:t>
      </w:r>
      <w:proofErr w:type="gramStart"/>
      <w:r w:rsidRPr="00DF1384">
        <w:rPr>
          <w:rFonts w:ascii="Arial" w:hAnsi="Arial" w:cs="Arial"/>
        </w:rPr>
        <w:t>particular recovery</w:t>
      </w:r>
      <w:proofErr w:type="gramEnd"/>
      <w:r w:rsidRPr="00DF1384">
        <w:rPr>
          <w:rFonts w:ascii="Arial" w:hAnsi="Arial" w:cs="Arial"/>
        </w:rPr>
        <w:t xml:space="preserve"> dimensions.</w:t>
      </w:r>
    </w:p>
    <w:p w14:paraId="7B305BA0" w14:textId="77777777" w:rsidR="00856A47" w:rsidRDefault="009E37BA" w:rsidP="008D4334">
      <w:pPr>
        <w:spacing w:line="240" w:lineRule="auto"/>
        <w:ind w:left="720"/>
        <w:rPr>
          <w:rFonts w:ascii="Arial" w:hAnsi="Arial" w:cs="Arial"/>
        </w:rPr>
      </w:pPr>
      <w:r w:rsidRPr="00DF1384">
        <w:rPr>
          <w:rFonts w:ascii="Arial" w:hAnsi="Arial" w:cs="Arial"/>
        </w:rPr>
        <w:t xml:space="preserve">The methodological contribution lies in organizing post-disaster indicators across built-up, social, economic, and natural environments. In the empirical chapters, very-high-resolution imagery and machine-learning-derived land cover and land use classes are used across multiple temporal phases to examine damage and recovery after Typhoon Haiyan. The thesis therefore </w:t>
      </w:r>
      <w:proofErr w:type="gramStart"/>
      <w:r w:rsidRPr="00DF1384">
        <w:rPr>
          <w:rFonts w:ascii="Arial" w:hAnsi="Arial" w:cs="Arial"/>
        </w:rPr>
        <w:t>models</w:t>
      </w:r>
      <w:proofErr w:type="gramEnd"/>
      <w:r w:rsidRPr="00DF1384">
        <w:rPr>
          <w:rFonts w:ascii="Arial" w:hAnsi="Arial" w:cs="Arial"/>
        </w:rPr>
        <w:t xml:space="preserve"> recovery as a trajectory from pre-event baseline to immediate impact and subsequent reconstruction phases. The limitation is not conceptual weakness but proxy specificity: building reconstruction, debris removal, vegetation regrowth, and land-use change can reveal physical recovery, but they cannot alone establish functional restoration, household welfare, or social resilience. This creates the conceptual opening for nighttime lights as a complementary functional proxy, especially for electricity-mediated activity and service restoration.</w:t>
      </w:r>
    </w:p>
    <w:p w14:paraId="2E76A4C3" w14:textId="5481308C" w:rsidR="00985108" w:rsidRDefault="009E37BA" w:rsidP="008D4334">
      <w:pPr>
        <w:spacing w:line="240" w:lineRule="auto"/>
        <w:ind w:left="720"/>
        <w:rPr>
          <w:rFonts w:ascii="Arial" w:hAnsi="Arial" w:cs="Arial"/>
          <w:color w:val="C00000"/>
        </w:rPr>
      </w:pPr>
      <w:proofErr w:type="spellStart"/>
      <w:r w:rsidRPr="00856A47">
        <w:rPr>
          <w:rFonts w:ascii="Arial" w:hAnsi="Arial" w:cs="Arial"/>
          <w:color w:val="C00000"/>
        </w:rPr>
        <w:t>Ghaffarian</w:t>
      </w:r>
      <w:proofErr w:type="spellEnd"/>
      <w:r w:rsidRPr="00856A47">
        <w:rPr>
          <w:rFonts w:ascii="Arial" w:hAnsi="Arial" w:cs="Arial"/>
          <w:color w:val="C00000"/>
        </w:rPr>
        <w:t>, S. (2020). Post-disaster recovery assessment using remote sensing-based proxies (Doctoral dissertation,</w:t>
      </w:r>
      <w:r w:rsidR="00856A47" w:rsidRPr="00856A47">
        <w:rPr>
          <w:rFonts w:ascii="Arial" w:hAnsi="Arial" w:cs="Arial"/>
          <w:color w:val="C00000"/>
        </w:rPr>
        <w:t xml:space="preserve"> </w:t>
      </w:r>
      <w:r w:rsidRPr="00856A47">
        <w:rPr>
          <w:rFonts w:ascii="Arial" w:hAnsi="Arial" w:cs="Arial"/>
          <w:color w:val="C00000"/>
        </w:rPr>
        <w:t xml:space="preserve">University of Twente). </w:t>
      </w:r>
    </w:p>
    <w:p w14:paraId="7323543F" w14:textId="77777777" w:rsidR="00B27BAA" w:rsidRPr="00856A47" w:rsidRDefault="00B27BAA" w:rsidP="008D4334">
      <w:pPr>
        <w:spacing w:line="240" w:lineRule="auto"/>
        <w:ind w:left="720"/>
        <w:rPr>
          <w:rFonts w:ascii="Arial" w:hAnsi="Arial" w:cs="Arial"/>
          <w:color w:val="C00000"/>
        </w:rPr>
      </w:pPr>
    </w:p>
    <w:p w14:paraId="02B1FDEE" w14:textId="771FF947" w:rsidR="00856A47" w:rsidRPr="00540A03" w:rsidRDefault="00856A47" w:rsidP="008D4334">
      <w:pPr>
        <w:pStyle w:val="Heading2"/>
        <w:spacing w:line="240" w:lineRule="auto"/>
        <w:rPr>
          <w:rFonts w:ascii="Arial" w:hAnsi="Arial" w:cs="Arial"/>
          <w:color w:val="0432FF"/>
        </w:rPr>
      </w:pPr>
      <w:r w:rsidRPr="00540A03">
        <w:rPr>
          <w:rFonts w:ascii="Arial" w:hAnsi="Arial" w:cs="Arial"/>
          <w:color w:val="0432FF"/>
        </w:rPr>
        <w:t xml:space="preserve">II. </w:t>
      </w:r>
      <w:proofErr w:type="spellStart"/>
      <w:r w:rsidRPr="00540A03">
        <w:rPr>
          <w:rFonts w:ascii="Arial" w:hAnsi="Arial" w:cs="Arial"/>
          <w:color w:val="0432FF"/>
        </w:rPr>
        <w:t>Ghaffarian</w:t>
      </w:r>
      <w:proofErr w:type="spellEnd"/>
      <w:r w:rsidRPr="00540A03">
        <w:rPr>
          <w:rFonts w:ascii="Arial" w:hAnsi="Arial" w:cs="Arial"/>
          <w:color w:val="0432FF"/>
        </w:rPr>
        <w:t xml:space="preserve"> et al. - Remote Sensing-Based Proxies for Urban Disaster Risk Management and Resilience: A Review</w:t>
      </w:r>
    </w:p>
    <w:p w14:paraId="600193C3" w14:textId="77777777" w:rsidR="00B27BAA" w:rsidRPr="00B27BAA" w:rsidRDefault="00B27BAA" w:rsidP="008D4334">
      <w:pPr>
        <w:spacing w:line="240" w:lineRule="auto"/>
      </w:pPr>
    </w:p>
    <w:p w14:paraId="239312B3" w14:textId="77777777" w:rsidR="00985108" w:rsidRPr="00DF1384" w:rsidRDefault="009E37BA" w:rsidP="008D4334">
      <w:pPr>
        <w:spacing w:line="240" w:lineRule="auto"/>
        <w:ind w:left="720"/>
        <w:rPr>
          <w:rFonts w:ascii="Arial" w:hAnsi="Arial" w:cs="Arial"/>
        </w:rPr>
      </w:pPr>
      <w:proofErr w:type="spellStart"/>
      <w:r w:rsidRPr="00DF1384">
        <w:rPr>
          <w:rFonts w:ascii="Arial" w:hAnsi="Arial" w:cs="Arial"/>
        </w:rPr>
        <w:t>Ghaffarian</w:t>
      </w:r>
      <w:proofErr w:type="spellEnd"/>
      <w:r w:rsidRPr="00DF1384">
        <w:rPr>
          <w:rFonts w:ascii="Arial" w:hAnsi="Arial" w:cs="Arial"/>
        </w:rPr>
        <w:t xml:space="preserve"> et al. (2018) review how remote sensing proxies have been used in urban disaster risk management and resilience assessment. The paper is important because it formalizes the idea that many disaster-relevant variables cannot be observed directly from space. Instead, remote sensing contributes through proxy indicators of exposure, vulnerability, damage, recovery, accessibility, settlement structure, and environmental conditions.</w:t>
      </w:r>
    </w:p>
    <w:p w14:paraId="00B4976F" w14:textId="77777777" w:rsidR="00856A47" w:rsidRDefault="009E37BA" w:rsidP="008D4334">
      <w:pPr>
        <w:spacing w:line="240" w:lineRule="auto"/>
        <w:ind w:left="720"/>
        <w:rPr>
          <w:rFonts w:ascii="Arial" w:hAnsi="Arial" w:cs="Arial"/>
        </w:rPr>
      </w:pPr>
      <w:r w:rsidRPr="00DF1384">
        <w:rPr>
          <w:rFonts w:ascii="Arial" w:hAnsi="Arial" w:cs="Arial"/>
        </w:rPr>
        <w:t xml:space="preserve">The review is useful for positioning nighttime lights because it makes proxy logic explicit. Nighttime lights can be interpreted as a proxy for electrified activity, urban intensity, or functional disruption, but they cannot be treated as a direct measure of welfare, resilience, or recovery quality. The paper also helps separate physical proxies from social and economic proxies. Its main limitation for the present topic is temporal: the review predates much of the recent daily VIIRS Black Marble disaster literature, including studies on VZA correction, counterfactual baselines, and fine-scale recovery heterogeneity. Its enduring value is conceptual rather than </w:t>
      </w:r>
      <w:proofErr w:type="gramStart"/>
      <w:r w:rsidRPr="00DF1384">
        <w:rPr>
          <w:rFonts w:ascii="Arial" w:hAnsi="Arial" w:cs="Arial"/>
        </w:rPr>
        <w:t>product-specific</w:t>
      </w:r>
      <w:proofErr w:type="gramEnd"/>
      <w:r w:rsidRPr="00DF1384">
        <w:rPr>
          <w:rFonts w:ascii="Arial" w:hAnsi="Arial" w:cs="Arial"/>
        </w:rPr>
        <w:t>.</w:t>
      </w:r>
    </w:p>
    <w:p w14:paraId="49845B1E" w14:textId="2371C83A" w:rsidR="00985108" w:rsidRDefault="009E37BA" w:rsidP="008D4334">
      <w:pPr>
        <w:spacing w:line="240" w:lineRule="auto"/>
        <w:ind w:left="720"/>
        <w:rPr>
          <w:rFonts w:ascii="Arial" w:hAnsi="Arial" w:cs="Arial"/>
          <w:color w:val="C00000"/>
        </w:rPr>
      </w:pPr>
      <w:proofErr w:type="spellStart"/>
      <w:r w:rsidRPr="00856A47">
        <w:rPr>
          <w:rFonts w:ascii="Arial" w:hAnsi="Arial" w:cs="Arial"/>
          <w:color w:val="C00000"/>
        </w:rPr>
        <w:t>Ghaffarian</w:t>
      </w:r>
      <w:proofErr w:type="spellEnd"/>
      <w:r w:rsidRPr="00856A47">
        <w:rPr>
          <w:rFonts w:ascii="Arial" w:hAnsi="Arial" w:cs="Arial"/>
          <w:color w:val="C00000"/>
        </w:rPr>
        <w:t xml:space="preserve">, S., Kerle, N., &amp; Filatova, T. (2018). Remote sensing-based proxies for urban disaster risk management and resilience: A review. Remote Sensing, 10(11), 1760. </w:t>
      </w:r>
      <w:hyperlink r:id="rId8" w:history="1">
        <w:r w:rsidR="00057BAE" w:rsidRPr="00FE5C29">
          <w:rPr>
            <w:rStyle w:val="Hyperlink"/>
            <w:rFonts w:ascii="Arial" w:hAnsi="Arial" w:cs="Arial"/>
          </w:rPr>
          <w:t>https://doi.org/10.3390/rs10111760</w:t>
        </w:r>
      </w:hyperlink>
      <w:r w:rsidR="00057BAE">
        <w:rPr>
          <w:rFonts w:ascii="Arial" w:hAnsi="Arial" w:cs="Arial"/>
          <w:color w:val="C00000"/>
        </w:rPr>
        <w:t xml:space="preserve"> </w:t>
      </w:r>
    </w:p>
    <w:p w14:paraId="1DF6F829" w14:textId="77777777" w:rsidR="00540A03" w:rsidRPr="00856A47" w:rsidRDefault="00540A03" w:rsidP="008D4334">
      <w:pPr>
        <w:spacing w:line="240" w:lineRule="auto"/>
        <w:ind w:left="720"/>
        <w:rPr>
          <w:rFonts w:ascii="Arial" w:hAnsi="Arial" w:cs="Arial"/>
          <w:color w:val="C00000"/>
        </w:rPr>
      </w:pPr>
    </w:p>
    <w:p w14:paraId="75A86FFA" w14:textId="61ABC1B4" w:rsidR="00985108" w:rsidRPr="00540A03" w:rsidRDefault="00983882" w:rsidP="008D4334">
      <w:pPr>
        <w:pStyle w:val="Heading2"/>
        <w:spacing w:line="240" w:lineRule="auto"/>
        <w:rPr>
          <w:rFonts w:ascii="Arial" w:hAnsi="Arial" w:cs="Arial"/>
          <w:color w:val="0432FF"/>
        </w:rPr>
      </w:pPr>
      <w:r w:rsidRPr="00540A03">
        <w:rPr>
          <w:rFonts w:ascii="Arial" w:hAnsi="Arial" w:cs="Arial"/>
          <w:color w:val="0432FF"/>
        </w:rPr>
        <w:t xml:space="preserve">III. </w:t>
      </w:r>
      <w:proofErr w:type="spellStart"/>
      <w:r w:rsidRPr="00540A03">
        <w:rPr>
          <w:rFonts w:ascii="Arial" w:hAnsi="Arial" w:cs="Arial"/>
          <w:color w:val="0432FF"/>
        </w:rPr>
        <w:t>Sheykhmousa</w:t>
      </w:r>
      <w:proofErr w:type="spellEnd"/>
      <w:r w:rsidRPr="00540A03">
        <w:rPr>
          <w:rFonts w:ascii="Arial" w:hAnsi="Arial" w:cs="Arial"/>
          <w:color w:val="0432FF"/>
        </w:rPr>
        <w:t xml:space="preserve"> et al. - Post-Disaster Recovery Assessment with Machine Learning-Derived Land Cover and Land Use Information</w:t>
      </w:r>
    </w:p>
    <w:p w14:paraId="616CF41E" w14:textId="77777777" w:rsidR="00983882" w:rsidRPr="00983882" w:rsidRDefault="00983882" w:rsidP="008D4334">
      <w:pPr>
        <w:spacing w:line="240" w:lineRule="auto"/>
      </w:pPr>
    </w:p>
    <w:p w14:paraId="59DCC11B" w14:textId="77777777" w:rsidR="00985108" w:rsidRPr="00DF1384" w:rsidRDefault="009E37BA" w:rsidP="008D4334">
      <w:pPr>
        <w:spacing w:line="240" w:lineRule="auto"/>
        <w:ind w:left="720"/>
        <w:rPr>
          <w:rFonts w:ascii="Arial" w:hAnsi="Arial" w:cs="Arial"/>
        </w:rPr>
      </w:pPr>
      <w:proofErr w:type="spellStart"/>
      <w:r w:rsidRPr="00DF1384">
        <w:rPr>
          <w:rFonts w:ascii="Arial" w:hAnsi="Arial" w:cs="Arial"/>
        </w:rPr>
        <w:t>Sheykhmousa</w:t>
      </w:r>
      <w:proofErr w:type="spellEnd"/>
      <w:r w:rsidRPr="00DF1384">
        <w:rPr>
          <w:rFonts w:ascii="Arial" w:hAnsi="Arial" w:cs="Arial"/>
        </w:rPr>
        <w:t xml:space="preserve"> et al. (2019) operationalize the proxy framework by using machine-learning-derived land cover and land use information to assess post-disaster recovery. The study emphasizes that recovery is not captured well by a single post-event image. Instead, it requires </w:t>
      </w:r>
      <w:r w:rsidRPr="00DF1384">
        <w:rPr>
          <w:rFonts w:ascii="Arial" w:hAnsi="Arial" w:cs="Arial"/>
        </w:rPr>
        <w:lastRenderedPageBreak/>
        <w:t>pre-event conditions, post-event damage states, and later temporal snapshots that show whether built-up areas, vegetation, roads, and land-use classes return, change, or fail to recover.</w:t>
      </w:r>
    </w:p>
    <w:p w14:paraId="0E857E73" w14:textId="77777777" w:rsidR="00983882" w:rsidRDefault="009E37BA" w:rsidP="008D4334">
      <w:pPr>
        <w:spacing w:line="240" w:lineRule="auto"/>
        <w:ind w:left="720"/>
        <w:rPr>
          <w:rFonts w:ascii="Arial" w:hAnsi="Arial" w:cs="Arial"/>
        </w:rPr>
      </w:pPr>
      <w:r w:rsidRPr="00DF1384">
        <w:rPr>
          <w:rFonts w:ascii="Arial" w:hAnsi="Arial" w:cs="Arial"/>
        </w:rPr>
        <w:t>The study is transferable because it demonstrates a structured, multi-temporal recovery logic that can be adapted to nighttime lights. The parallel is clear: land cover classes can show physical reconstruction, while daily NTL can show functional activity or electricity-mediated change. However, the paper also demonstrates a major limitation of purely physical remote sensing: land cover recovery does not necessarily mean restored livelihoods, services, or habitability. This supports the need to combine physical settlement information, such as GHSL, with functional proxies such as NTL and independent electricity data.</w:t>
      </w:r>
    </w:p>
    <w:p w14:paraId="7B146098" w14:textId="340E2587" w:rsidR="00985108" w:rsidRDefault="009E37BA" w:rsidP="008D4334">
      <w:pPr>
        <w:spacing w:line="240" w:lineRule="auto"/>
        <w:ind w:left="720"/>
        <w:rPr>
          <w:rFonts w:ascii="Arial" w:hAnsi="Arial" w:cs="Arial"/>
          <w:color w:val="C00000"/>
        </w:rPr>
      </w:pPr>
      <w:proofErr w:type="spellStart"/>
      <w:r w:rsidRPr="00983882">
        <w:rPr>
          <w:rFonts w:ascii="Arial" w:hAnsi="Arial" w:cs="Arial"/>
          <w:color w:val="C00000"/>
        </w:rPr>
        <w:t>Sheykhmousa</w:t>
      </w:r>
      <w:proofErr w:type="spellEnd"/>
      <w:r w:rsidRPr="00983882">
        <w:rPr>
          <w:rFonts w:ascii="Arial" w:hAnsi="Arial" w:cs="Arial"/>
          <w:color w:val="C00000"/>
        </w:rPr>
        <w:t xml:space="preserve">, M., Kerle, N., Kuffer, M., &amp; </w:t>
      </w:r>
      <w:proofErr w:type="spellStart"/>
      <w:r w:rsidRPr="00983882">
        <w:rPr>
          <w:rFonts w:ascii="Arial" w:hAnsi="Arial" w:cs="Arial"/>
          <w:color w:val="C00000"/>
        </w:rPr>
        <w:t>Ghaffarian</w:t>
      </w:r>
      <w:proofErr w:type="spellEnd"/>
      <w:r w:rsidRPr="00983882">
        <w:rPr>
          <w:rFonts w:ascii="Arial" w:hAnsi="Arial" w:cs="Arial"/>
          <w:color w:val="C00000"/>
        </w:rPr>
        <w:t xml:space="preserve">, S. (2019). Post-disaster recovery assessment with machine learning-derived land cover and land use information. Remote Sensing, 11(10), 1174. </w:t>
      </w:r>
      <w:hyperlink r:id="rId9" w:history="1">
        <w:r w:rsidR="00057BAE" w:rsidRPr="00FE5C29">
          <w:rPr>
            <w:rStyle w:val="Hyperlink"/>
            <w:rFonts w:ascii="Arial" w:hAnsi="Arial" w:cs="Arial"/>
          </w:rPr>
          <w:t>https://doi.org/10.3390/rs11101174</w:t>
        </w:r>
      </w:hyperlink>
      <w:r w:rsidR="00057BAE">
        <w:rPr>
          <w:rFonts w:ascii="Arial" w:hAnsi="Arial" w:cs="Arial"/>
          <w:color w:val="C00000"/>
        </w:rPr>
        <w:t xml:space="preserve"> </w:t>
      </w:r>
    </w:p>
    <w:p w14:paraId="26B71014" w14:textId="77777777" w:rsidR="00540A03" w:rsidRPr="00983882" w:rsidRDefault="00540A03" w:rsidP="008D4334">
      <w:pPr>
        <w:spacing w:line="240" w:lineRule="auto"/>
        <w:ind w:left="720"/>
        <w:rPr>
          <w:rFonts w:ascii="Arial" w:hAnsi="Arial" w:cs="Arial"/>
          <w:color w:val="C00000"/>
        </w:rPr>
      </w:pPr>
    </w:p>
    <w:p w14:paraId="57CA9596" w14:textId="147CE6A7" w:rsidR="00985108" w:rsidRPr="00540A03" w:rsidRDefault="00203318" w:rsidP="008D4334">
      <w:pPr>
        <w:pStyle w:val="Heading2"/>
        <w:spacing w:line="240" w:lineRule="auto"/>
        <w:rPr>
          <w:rFonts w:ascii="Arial" w:hAnsi="Arial" w:cs="Arial"/>
          <w:color w:val="0432FF"/>
        </w:rPr>
      </w:pPr>
      <w:r w:rsidRPr="00540A03">
        <w:rPr>
          <w:rFonts w:ascii="Arial" w:hAnsi="Arial" w:cs="Arial"/>
          <w:color w:val="0432FF"/>
        </w:rPr>
        <w:t xml:space="preserve">IV. Elvidge et al. - Mapping City Lights with Nighttime Data from the DMSP Operational </w:t>
      </w:r>
      <w:proofErr w:type="spellStart"/>
      <w:r w:rsidRPr="00540A03">
        <w:rPr>
          <w:rFonts w:ascii="Arial" w:hAnsi="Arial" w:cs="Arial"/>
          <w:color w:val="0432FF"/>
        </w:rPr>
        <w:t>Linescan</w:t>
      </w:r>
      <w:proofErr w:type="spellEnd"/>
      <w:r w:rsidRPr="00540A03">
        <w:rPr>
          <w:rFonts w:ascii="Arial" w:hAnsi="Arial" w:cs="Arial"/>
          <w:color w:val="0432FF"/>
        </w:rPr>
        <w:t xml:space="preserve"> System</w:t>
      </w:r>
    </w:p>
    <w:p w14:paraId="76391102" w14:textId="77777777" w:rsidR="00203318" w:rsidRPr="00203318" w:rsidRDefault="00203318" w:rsidP="008D4334">
      <w:pPr>
        <w:spacing w:line="240" w:lineRule="auto"/>
      </w:pPr>
    </w:p>
    <w:p w14:paraId="11D98AC4" w14:textId="77777777" w:rsidR="00985108" w:rsidRPr="00DF1384" w:rsidRDefault="009E37BA" w:rsidP="008D4334">
      <w:pPr>
        <w:spacing w:line="240" w:lineRule="auto"/>
        <w:ind w:left="720"/>
        <w:rPr>
          <w:rFonts w:ascii="Arial" w:hAnsi="Arial" w:cs="Arial"/>
        </w:rPr>
      </w:pPr>
      <w:r w:rsidRPr="00DF1384">
        <w:rPr>
          <w:rFonts w:ascii="Arial" w:hAnsi="Arial" w:cs="Arial"/>
        </w:rPr>
        <w:t>Elvidge et al. (1997) helped establish nighttime lights as a remotely sensed indicator of human settlement and economic activity. The DMSP-OLS stable lights products made it possible to map lit settlements globally and opened the path for using nighttime radiance as a proxy for population, urbanization, electrification, and economic activity. This work is foundational because it shifted nighttime observation from a meteorological by-product into a social and economic remote sensing dataset.</w:t>
      </w:r>
    </w:p>
    <w:p w14:paraId="2F29E7F8" w14:textId="77777777" w:rsidR="00203318" w:rsidRDefault="009E37BA" w:rsidP="008D4334">
      <w:pPr>
        <w:spacing w:line="240" w:lineRule="auto"/>
        <w:ind w:left="720"/>
        <w:rPr>
          <w:rFonts w:ascii="Arial" w:hAnsi="Arial" w:cs="Arial"/>
        </w:rPr>
      </w:pPr>
      <w:r w:rsidRPr="00DF1384">
        <w:rPr>
          <w:rFonts w:ascii="Arial" w:hAnsi="Arial" w:cs="Arial"/>
        </w:rPr>
        <w:t>For disaster research, the main legacy of DMSP-OLS is the premise that changes in artificial lighting can reveal human activity change where ground data are scarce. Its limitations are equally foundational: coarse spatial resolution, saturation in bright urban cores, blooming, annual compositing, weak radiometric calibration, and limited temporal resolution constrain short-term disaster interpretation. These constraints explain why much recent work moves toward VIIRS and Black Marble for daily disruption and recovery analysis.</w:t>
      </w:r>
    </w:p>
    <w:p w14:paraId="4B46BA57" w14:textId="75B4E603" w:rsidR="00985108" w:rsidRPr="00203318" w:rsidRDefault="009E37BA" w:rsidP="008D4334">
      <w:pPr>
        <w:spacing w:line="240" w:lineRule="auto"/>
        <w:ind w:left="720"/>
        <w:rPr>
          <w:rFonts w:ascii="Arial" w:hAnsi="Arial" w:cs="Arial"/>
          <w:color w:val="C00000"/>
        </w:rPr>
      </w:pPr>
      <w:r w:rsidRPr="00203318">
        <w:rPr>
          <w:rFonts w:ascii="Arial" w:hAnsi="Arial" w:cs="Arial"/>
          <w:color w:val="C00000"/>
        </w:rPr>
        <w:t xml:space="preserve">Elvidge, C. D., Baugh, K. E., Kihn, E. A., Kroehl, H. W., Davis, E. R., &amp; Davis, C. W. (1997). Mapping city lights with nighttime data from the DMSP Operational </w:t>
      </w:r>
      <w:proofErr w:type="spellStart"/>
      <w:r w:rsidRPr="00203318">
        <w:rPr>
          <w:rFonts w:ascii="Arial" w:hAnsi="Arial" w:cs="Arial"/>
          <w:color w:val="C00000"/>
        </w:rPr>
        <w:t>Linescan</w:t>
      </w:r>
      <w:proofErr w:type="spellEnd"/>
      <w:r w:rsidRPr="00203318">
        <w:rPr>
          <w:rFonts w:ascii="Arial" w:hAnsi="Arial" w:cs="Arial"/>
          <w:color w:val="C00000"/>
        </w:rPr>
        <w:t xml:space="preserve"> System. Photogrammetric Engineering &amp; Remote Sensing, 63(6), 727-734. </w:t>
      </w:r>
    </w:p>
    <w:p w14:paraId="7FBA39A8" w14:textId="54FCCAED" w:rsidR="00B27BAA" w:rsidRPr="00540A03" w:rsidRDefault="00B27BAA" w:rsidP="008D4334">
      <w:pPr>
        <w:pStyle w:val="Heading2"/>
        <w:spacing w:line="240" w:lineRule="auto"/>
        <w:rPr>
          <w:rFonts w:ascii="Arial" w:hAnsi="Arial" w:cs="Arial"/>
          <w:color w:val="0432FF"/>
        </w:rPr>
      </w:pPr>
      <w:r w:rsidRPr="00540A03">
        <w:rPr>
          <w:rFonts w:ascii="Arial" w:hAnsi="Arial" w:cs="Arial"/>
          <w:color w:val="0432FF"/>
        </w:rPr>
        <w:t>V. Chen and Nordhaus - Using Luminosity Data as a Proxy for Economic Statistics</w:t>
      </w:r>
    </w:p>
    <w:p w14:paraId="3ABA3108" w14:textId="77777777" w:rsidR="00057BAE" w:rsidRPr="00057BAE" w:rsidRDefault="00057BAE" w:rsidP="008D4334">
      <w:pPr>
        <w:spacing w:line="240" w:lineRule="auto"/>
      </w:pPr>
    </w:p>
    <w:p w14:paraId="65E2E7A0" w14:textId="43D93B06" w:rsidR="00985108" w:rsidRPr="00DF1384" w:rsidRDefault="009E37BA" w:rsidP="008D4334">
      <w:pPr>
        <w:spacing w:line="240" w:lineRule="auto"/>
        <w:ind w:left="720"/>
        <w:rPr>
          <w:rFonts w:ascii="Arial" w:hAnsi="Arial" w:cs="Arial"/>
        </w:rPr>
      </w:pPr>
      <w:r w:rsidRPr="00DF1384">
        <w:rPr>
          <w:rFonts w:ascii="Arial" w:hAnsi="Arial" w:cs="Arial"/>
        </w:rPr>
        <w:t>Chen and Nordhaus (2011) provide one of the strongest early econometric arguments for using nighttime lights as a proxy for economic activity. The paper evaluates luminosity as a substitute or complement for conventional economic statistics, especially where official data are sparse, inconsistent, or spatially coarse. This established an empirical bridge between satellite-observed brightness and socioeconomic measurement.</w:t>
      </w:r>
    </w:p>
    <w:p w14:paraId="11F5D377" w14:textId="77777777" w:rsidR="00057BAE" w:rsidRDefault="009E37BA" w:rsidP="008D4334">
      <w:pPr>
        <w:spacing w:line="240" w:lineRule="auto"/>
        <w:ind w:left="720"/>
        <w:rPr>
          <w:rFonts w:ascii="Arial" w:hAnsi="Arial" w:cs="Arial"/>
        </w:rPr>
      </w:pPr>
      <w:r w:rsidRPr="00DF1384">
        <w:rPr>
          <w:rFonts w:ascii="Arial" w:hAnsi="Arial" w:cs="Arial"/>
        </w:rPr>
        <w:t xml:space="preserve">The relevance to disaster recovery is indirect but important. If nighttime lights can approximate spatial economic activity under ordinary conditions, then disaster-driven deviations in lights may reveal disruption or recovery. However, the paper does not justify interpreting brightness change as recovery by itself. Economic proxy validity is conditional and </w:t>
      </w:r>
      <w:proofErr w:type="gramStart"/>
      <w:r w:rsidRPr="00DF1384">
        <w:rPr>
          <w:rFonts w:ascii="Arial" w:hAnsi="Arial" w:cs="Arial"/>
        </w:rPr>
        <w:t>scale-dependent</w:t>
      </w:r>
      <w:proofErr w:type="gramEnd"/>
      <w:r w:rsidRPr="00DF1384">
        <w:rPr>
          <w:rFonts w:ascii="Arial" w:hAnsi="Arial" w:cs="Arial"/>
        </w:rPr>
        <w:t>. In disaster settings, changes may reflect electricity outages, population displacement, emergency lighting, curfews, repairs, cloud contamination, or observation geometry. Later disaster studies must therefore move beyond the general economic-proxy assumption toward event-specific validation.</w:t>
      </w:r>
    </w:p>
    <w:p w14:paraId="4BBF1997" w14:textId="7F2C39C0" w:rsidR="00985108" w:rsidRDefault="009E37BA" w:rsidP="008D4334">
      <w:pPr>
        <w:spacing w:line="240" w:lineRule="auto"/>
        <w:ind w:left="720"/>
        <w:rPr>
          <w:rFonts w:ascii="Arial" w:hAnsi="Arial" w:cs="Arial"/>
          <w:color w:val="C00000"/>
        </w:rPr>
      </w:pPr>
      <w:r w:rsidRPr="00057BAE">
        <w:rPr>
          <w:rFonts w:ascii="Arial" w:hAnsi="Arial" w:cs="Arial"/>
          <w:color w:val="C00000"/>
        </w:rPr>
        <w:t xml:space="preserve">Chen, X., &amp; Nordhaus, W. D. (2011). Using luminosity data as a proxy for economic statistics. Proceedings of the National Academy of Sciences, 108(21), 8589-8594. </w:t>
      </w:r>
      <w:hyperlink r:id="rId10" w:history="1">
        <w:r w:rsidR="00057BAE" w:rsidRPr="00FE5C29">
          <w:rPr>
            <w:rStyle w:val="Hyperlink"/>
            <w:rFonts w:ascii="Arial" w:hAnsi="Arial" w:cs="Arial"/>
          </w:rPr>
          <w:t>https://doi.org/10.1073/pnas.1017031108</w:t>
        </w:r>
      </w:hyperlink>
    </w:p>
    <w:p w14:paraId="76449ACB" w14:textId="77777777" w:rsidR="00540A03" w:rsidRPr="00057BAE" w:rsidRDefault="00540A03" w:rsidP="008D4334">
      <w:pPr>
        <w:spacing w:line="240" w:lineRule="auto"/>
        <w:ind w:left="720"/>
        <w:rPr>
          <w:rFonts w:ascii="Arial" w:hAnsi="Arial" w:cs="Arial"/>
          <w:color w:val="C00000"/>
        </w:rPr>
      </w:pPr>
    </w:p>
    <w:p w14:paraId="7D45A246" w14:textId="1EA91924" w:rsidR="00985108" w:rsidRPr="00540A03" w:rsidRDefault="00057BAE" w:rsidP="008D4334">
      <w:pPr>
        <w:pStyle w:val="Heading2"/>
        <w:spacing w:line="240" w:lineRule="auto"/>
        <w:rPr>
          <w:rFonts w:ascii="Arial" w:hAnsi="Arial" w:cs="Arial"/>
          <w:color w:val="0432FF"/>
        </w:rPr>
      </w:pPr>
      <w:r w:rsidRPr="00540A03">
        <w:rPr>
          <w:rFonts w:ascii="Arial" w:hAnsi="Arial" w:cs="Arial"/>
          <w:color w:val="0432FF"/>
        </w:rPr>
        <w:lastRenderedPageBreak/>
        <w:t>VI. Henderson et al. - Measuring Economic Growth from Outer Space</w:t>
      </w:r>
    </w:p>
    <w:p w14:paraId="7D0673AC" w14:textId="77777777" w:rsidR="00057BAE" w:rsidRPr="00057BAE" w:rsidRDefault="00057BAE" w:rsidP="008D4334">
      <w:pPr>
        <w:spacing w:line="240" w:lineRule="auto"/>
      </w:pPr>
    </w:p>
    <w:p w14:paraId="736F5143" w14:textId="77777777" w:rsidR="00985108" w:rsidRPr="00DF1384" w:rsidRDefault="009E37BA" w:rsidP="008D4334">
      <w:pPr>
        <w:spacing w:line="240" w:lineRule="auto"/>
        <w:ind w:left="720"/>
        <w:rPr>
          <w:rFonts w:ascii="Arial" w:hAnsi="Arial" w:cs="Arial"/>
        </w:rPr>
      </w:pPr>
      <w:r w:rsidRPr="00DF1384">
        <w:rPr>
          <w:rFonts w:ascii="Arial" w:hAnsi="Arial" w:cs="Arial"/>
        </w:rPr>
        <w:t>Henderson et al. (2012) further consolidated nighttime lights as a proxy for economic growth. The paper uses lights to improve measurement of income growth, especially where statistical systems are weak. It is a landmark because it frames NTL as a complementary observational system for socioeconomic estimation rather than merely as a map of settlements.</w:t>
      </w:r>
    </w:p>
    <w:p w14:paraId="7CBE3609" w14:textId="77777777" w:rsidR="00057BAE" w:rsidRDefault="009E37BA" w:rsidP="008D4334">
      <w:pPr>
        <w:spacing w:line="240" w:lineRule="auto"/>
        <w:ind w:left="720"/>
        <w:rPr>
          <w:rFonts w:ascii="Arial" w:hAnsi="Arial" w:cs="Arial"/>
        </w:rPr>
      </w:pPr>
      <w:r w:rsidRPr="00DF1384">
        <w:rPr>
          <w:rFonts w:ascii="Arial" w:hAnsi="Arial" w:cs="Arial"/>
        </w:rPr>
        <w:t>For disaster studies, the main contribution is the counterfactual idea that lights can help infer economic trajectories when conventional data are inadequate. The limitation is that economic growth models operate at temporal and spatial scales that are different from daily disaster recovery. Disaster impact and recovery studies require attention to timing, sudden drops, recovery slope, data gaps, and short-term confounders. Henderson et al. therefore provide the broad economic rationale for NTL, but not the methodological basis for interpreting daily post-disaster signal under cloud-limited observation conditions.</w:t>
      </w:r>
    </w:p>
    <w:p w14:paraId="1A6FCC71" w14:textId="204F3B23" w:rsidR="00985108" w:rsidRDefault="009E37BA" w:rsidP="008D4334">
      <w:pPr>
        <w:spacing w:line="240" w:lineRule="auto"/>
        <w:ind w:left="720"/>
        <w:rPr>
          <w:rFonts w:ascii="Arial" w:hAnsi="Arial" w:cs="Arial"/>
        </w:rPr>
      </w:pPr>
      <w:r w:rsidRPr="00DF1384">
        <w:rPr>
          <w:rFonts w:ascii="Arial" w:hAnsi="Arial" w:cs="Arial"/>
        </w:rPr>
        <w:t xml:space="preserve">Henderson, J. V., Storeygard, A., &amp; Weil, D. N. (2012). Measuring economic growth from outer space. American Economic Review, 102(2), 994-1028. </w:t>
      </w:r>
      <w:hyperlink r:id="rId11" w:history="1">
        <w:r w:rsidR="00057BAE" w:rsidRPr="00FE5C29">
          <w:rPr>
            <w:rStyle w:val="Hyperlink"/>
            <w:rFonts w:ascii="Arial" w:hAnsi="Arial" w:cs="Arial"/>
          </w:rPr>
          <w:t>https://doi.org/10.1257/aer.102.2.994</w:t>
        </w:r>
      </w:hyperlink>
      <w:r w:rsidR="00057BAE">
        <w:rPr>
          <w:rFonts w:ascii="Arial" w:hAnsi="Arial" w:cs="Arial"/>
        </w:rPr>
        <w:t xml:space="preserve"> </w:t>
      </w:r>
    </w:p>
    <w:p w14:paraId="546AB962" w14:textId="77777777" w:rsidR="00540A03" w:rsidRPr="00DF1384" w:rsidRDefault="00540A03" w:rsidP="008D4334">
      <w:pPr>
        <w:spacing w:line="240" w:lineRule="auto"/>
        <w:ind w:left="720"/>
        <w:rPr>
          <w:rFonts w:ascii="Arial" w:hAnsi="Arial" w:cs="Arial"/>
        </w:rPr>
      </w:pPr>
    </w:p>
    <w:p w14:paraId="4E02C066" w14:textId="7DA74557" w:rsidR="00985108" w:rsidRPr="00540A03" w:rsidRDefault="00622D94" w:rsidP="008D4334">
      <w:pPr>
        <w:pStyle w:val="Heading2"/>
        <w:spacing w:line="240" w:lineRule="auto"/>
        <w:rPr>
          <w:rFonts w:ascii="Arial" w:hAnsi="Arial" w:cs="Arial"/>
          <w:color w:val="0432FF"/>
        </w:rPr>
      </w:pPr>
      <w:r w:rsidRPr="00540A03">
        <w:rPr>
          <w:rFonts w:ascii="Arial" w:hAnsi="Arial" w:cs="Arial"/>
          <w:color w:val="0432FF"/>
        </w:rPr>
        <w:t>VII. Elliott et al. - The Local Impact of Typhoons on Economic Activity in China: A View from Outer Space</w:t>
      </w:r>
    </w:p>
    <w:p w14:paraId="6FFE62CF" w14:textId="77777777" w:rsidR="00622D94" w:rsidRPr="00622D94" w:rsidRDefault="00622D94" w:rsidP="008D4334">
      <w:pPr>
        <w:spacing w:line="240" w:lineRule="auto"/>
      </w:pPr>
    </w:p>
    <w:p w14:paraId="5A9BEF7B" w14:textId="77777777" w:rsidR="00985108" w:rsidRPr="00DF1384" w:rsidRDefault="009E37BA" w:rsidP="008D4334">
      <w:pPr>
        <w:spacing w:line="240" w:lineRule="auto"/>
        <w:ind w:left="720"/>
        <w:rPr>
          <w:rFonts w:ascii="Arial" w:hAnsi="Arial" w:cs="Arial"/>
        </w:rPr>
      </w:pPr>
      <w:r w:rsidRPr="00DF1384">
        <w:rPr>
          <w:rFonts w:ascii="Arial" w:hAnsi="Arial" w:cs="Arial"/>
        </w:rPr>
        <w:t>Elliott et al. (2015) directly connect tropical cyclone exposure with nighttime-light-based economic activity. The study combines typhoon tracks, a wind-field model, and DMSP nighttime lights to estimate local economic losses in coastal China. Its main contribution is spatial disaggregation: rather than measuring disaster impacts only at national or provincial scales, the study estimates local economic effects at much finer spatial resolution.</w:t>
      </w:r>
    </w:p>
    <w:p w14:paraId="35C9DBC7" w14:textId="77777777" w:rsidR="00622D94" w:rsidRDefault="009E37BA" w:rsidP="008D4334">
      <w:pPr>
        <w:spacing w:line="240" w:lineRule="auto"/>
        <w:ind w:left="720"/>
        <w:rPr>
          <w:rFonts w:ascii="Arial" w:hAnsi="Arial" w:cs="Arial"/>
        </w:rPr>
      </w:pPr>
      <w:r w:rsidRPr="00DF1384">
        <w:rPr>
          <w:rFonts w:ascii="Arial" w:hAnsi="Arial" w:cs="Arial"/>
        </w:rPr>
        <w:t xml:space="preserve">The study is particularly relevant because it demonstrates that typhoon impacts can be detected through nighttime lights, but its annual DMSP-OLS design limits recovery interpretation. A short-term outage, a month-long disruption, and a slow annual decline may collapse into one annual brightness value. This makes the paper useful as an early economic-impact benchmark but insufficient for daily shock and recovery analysis. VIIRS Black Marble allows later studies to revisit the same typhoon-impact logic at daily temporal resolution, </w:t>
      </w:r>
      <w:proofErr w:type="gramStart"/>
      <w:r w:rsidRPr="00DF1384">
        <w:rPr>
          <w:rFonts w:ascii="Arial" w:hAnsi="Arial" w:cs="Arial"/>
        </w:rPr>
        <w:t>provided that</w:t>
      </w:r>
      <w:proofErr w:type="gramEnd"/>
      <w:r w:rsidRPr="00DF1384">
        <w:rPr>
          <w:rFonts w:ascii="Arial" w:hAnsi="Arial" w:cs="Arial"/>
        </w:rPr>
        <w:t xml:space="preserve"> observability and quality constraints are handled explicitly.</w:t>
      </w:r>
    </w:p>
    <w:p w14:paraId="30CD414F" w14:textId="7CC7E7CF" w:rsidR="00985108" w:rsidRPr="00DF1384" w:rsidRDefault="009E37BA" w:rsidP="008D4334">
      <w:pPr>
        <w:spacing w:line="240" w:lineRule="auto"/>
        <w:ind w:left="720"/>
        <w:rPr>
          <w:rFonts w:ascii="Arial" w:hAnsi="Arial" w:cs="Arial"/>
        </w:rPr>
      </w:pPr>
      <w:r w:rsidRPr="00622D94">
        <w:rPr>
          <w:rFonts w:ascii="Arial" w:hAnsi="Arial" w:cs="Arial"/>
          <w:color w:val="C00000"/>
        </w:rPr>
        <w:t xml:space="preserve">Elliott, R. J. R., Strobl, E., &amp; Sun, P. (2015). The local impact of typhoons on economic activity in China: A view from outer space. Journal of Urban Economics, 88, 50-66. </w:t>
      </w:r>
      <w:hyperlink r:id="rId12" w:history="1">
        <w:r w:rsidR="00622D94" w:rsidRPr="00FE5C29">
          <w:rPr>
            <w:rStyle w:val="Hyperlink"/>
            <w:rFonts w:ascii="Arial" w:hAnsi="Arial" w:cs="Arial"/>
          </w:rPr>
          <w:t>https://doi.org/10.1016/j.jue.2015.05.001</w:t>
        </w:r>
      </w:hyperlink>
      <w:r w:rsidR="00622D94">
        <w:rPr>
          <w:rFonts w:ascii="Arial" w:hAnsi="Arial" w:cs="Arial"/>
        </w:rPr>
        <w:t xml:space="preserve"> </w:t>
      </w:r>
    </w:p>
    <w:p w14:paraId="4D4F3423" w14:textId="03FF6E59" w:rsidR="00985108" w:rsidRPr="00540A03" w:rsidRDefault="00622D94" w:rsidP="008D4334">
      <w:pPr>
        <w:pStyle w:val="Heading2"/>
        <w:spacing w:line="240" w:lineRule="auto"/>
        <w:rPr>
          <w:rFonts w:ascii="Arial" w:hAnsi="Arial" w:cs="Arial"/>
          <w:color w:val="0432FF"/>
        </w:rPr>
      </w:pPr>
      <w:r w:rsidRPr="00540A03">
        <w:rPr>
          <w:rFonts w:ascii="Arial" w:hAnsi="Arial" w:cs="Arial"/>
          <w:color w:val="0432FF"/>
        </w:rPr>
        <w:t>VII. Román et al. - NASA’s Black Marble Nighttime Lights Product Suite</w:t>
      </w:r>
    </w:p>
    <w:p w14:paraId="18E5EEF4" w14:textId="77777777" w:rsidR="00622D94" w:rsidRPr="00622D94" w:rsidRDefault="00622D94" w:rsidP="008D4334">
      <w:pPr>
        <w:spacing w:line="240" w:lineRule="auto"/>
      </w:pPr>
    </w:p>
    <w:p w14:paraId="729004A5" w14:textId="77777777" w:rsidR="00985108" w:rsidRPr="00DF1384" w:rsidRDefault="009E37BA" w:rsidP="008D4334">
      <w:pPr>
        <w:spacing w:line="240" w:lineRule="auto"/>
        <w:ind w:left="720"/>
        <w:rPr>
          <w:rFonts w:ascii="Arial" w:hAnsi="Arial" w:cs="Arial"/>
        </w:rPr>
      </w:pPr>
      <w:r w:rsidRPr="00DF1384">
        <w:rPr>
          <w:rFonts w:ascii="Arial" w:hAnsi="Arial" w:cs="Arial"/>
        </w:rPr>
        <w:t>Román et al. (2018) marks the transition from coarse nighttime light composites toward daily, physically corrected VIIRS Black Marble products. The paper introduces a product suite designed to correct for lunar illumination, atmospheric effects, terrain, snow, cloud contamination, stray light, and bidirectional reflectance effects. The availability of daily DNB-BRDF-corrected radiance and quality layers made short-term event monitoring more plausible than it was under DMSP-OLS.</w:t>
      </w:r>
    </w:p>
    <w:p w14:paraId="67561B61" w14:textId="77777777" w:rsidR="00622D94" w:rsidRDefault="009E37BA" w:rsidP="008D4334">
      <w:pPr>
        <w:spacing w:line="240" w:lineRule="auto"/>
        <w:ind w:left="720"/>
        <w:rPr>
          <w:rFonts w:ascii="Arial" w:hAnsi="Arial" w:cs="Arial"/>
        </w:rPr>
      </w:pPr>
      <w:r w:rsidRPr="00DF1384">
        <w:rPr>
          <w:rFonts w:ascii="Arial" w:hAnsi="Arial" w:cs="Arial"/>
        </w:rPr>
        <w:t>For disaster recovery research, the contribution is foundational. Black Marble provides both a daily signal and quality information, allowing analysis to examine not only whether brightness changed but also whether a valid observation existed. However, later literature shows that Black Marble does not eliminate all sources of uncertainty. Spatial mismatch, view zenith angle, angular emission, anisotropy, cloud-screening error, and data holes remain consequential. Román et al. therefore provide the product basis, while subsequent studies define the interpretation problem that must be addressed before daily recovery claims can be made.</w:t>
      </w:r>
    </w:p>
    <w:p w14:paraId="4FFD5A8F" w14:textId="54A57281" w:rsidR="00985108" w:rsidRDefault="009E37BA" w:rsidP="008D4334">
      <w:pPr>
        <w:spacing w:line="240" w:lineRule="auto"/>
        <w:ind w:left="720"/>
        <w:rPr>
          <w:rFonts w:ascii="Arial" w:hAnsi="Arial" w:cs="Arial"/>
          <w:color w:val="C00000"/>
        </w:rPr>
      </w:pPr>
      <w:r w:rsidRPr="00622D94">
        <w:rPr>
          <w:rFonts w:ascii="Arial" w:hAnsi="Arial" w:cs="Arial"/>
          <w:color w:val="C00000"/>
        </w:rPr>
        <w:lastRenderedPageBreak/>
        <w:t xml:space="preserve">Román, M. O., Wang, Z., Sun, Q., Kalb, V., Miller, S. D., Molthan, A., Schultz, L., Bell, J., Stokes, E. C., Pandey, B., Seto, K. C., Hall, D., Davidson, C., Sarkar, S., </w:t>
      </w:r>
      <w:proofErr w:type="spellStart"/>
      <w:r w:rsidRPr="00622D94">
        <w:rPr>
          <w:rFonts w:ascii="Arial" w:hAnsi="Arial" w:cs="Arial"/>
          <w:color w:val="C00000"/>
        </w:rPr>
        <w:t>Praderas</w:t>
      </w:r>
      <w:proofErr w:type="spellEnd"/>
      <w:r w:rsidRPr="00622D94">
        <w:rPr>
          <w:rFonts w:ascii="Arial" w:hAnsi="Arial" w:cs="Arial"/>
          <w:color w:val="C00000"/>
        </w:rPr>
        <w:t xml:space="preserve">, C., Schmaltz, J., Boller, R., Stevens, J., Ramos González, O. M., Padilla, E., Alonso, J., </w:t>
      </w:r>
      <w:proofErr w:type="spellStart"/>
      <w:r w:rsidRPr="00622D94">
        <w:rPr>
          <w:rFonts w:ascii="Arial" w:hAnsi="Arial" w:cs="Arial"/>
          <w:color w:val="C00000"/>
        </w:rPr>
        <w:t>Detrés</w:t>
      </w:r>
      <w:proofErr w:type="spellEnd"/>
      <w:r w:rsidRPr="00622D94">
        <w:rPr>
          <w:rFonts w:ascii="Arial" w:hAnsi="Arial" w:cs="Arial"/>
          <w:color w:val="C00000"/>
        </w:rPr>
        <w:t xml:space="preserve">, Y., Armstrong, R., Miranda, I., Conte, Y., Marrero, N., MacManus, K., Esch, T., &amp; Masuoka, E. J. (2018). NASA’s Black Marble nighttime lights product suite. Remote Sensing of Environment, 210, 113-143. </w:t>
      </w:r>
      <w:hyperlink r:id="rId13" w:history="1">
        <w:r w:rsidR="00622D94" w:rsidRPr="00FE5C29">
          <w:rPr>
            <w:rStyle w:val="Hyperlink"/>
            <w:rFonts w:ascii="Arial" w:hAnsi="Arial" w:cs="Arial"/>
          </w:rPr>
          <w:t>https://doi.org/10.1016/j.rse.2018.03.017</w:t>
        </w:r>
      </w:hyperlink>
      <w:r w:rsidR="00622D94">
        <w:rPr>
          <w:rFonts w:ascii="Arial" w:hAnsi="Arial" w:cs="Arial"/>
          <w:color w:val="C00000"/>
        </w:rPr>
        <w:t xml:space="preserve"> </w:t>
      </w:r>
    </w:p>
    <w:p w14:paraId="26B7857D" w14:textId="77777777" w:rsidR="00540A03" w:rsidRPr="00622D94" w:rsidRDefault="00540A03" w:rsidP="008D4334">
      <w:pPr>
        <w:spacing w:line="240" w:lineRule="auto"/>
        <w:ind w:left="720"/>
        <w:rPr>
          <w:rFonts w:ascii="Arial" w:hAnsi="Arial" w:cs="Arial"/>
          <w:color w:val="C00000"/>
        </w:rPr>
      </w:pPr>
    </w:p>
    <w:p w14:paraId="4587F046" w14:textId="14F09A15" w:rsidR="00985108" w:rsidRPr="00540A03" w:rsidRDefault="00622D94" w:rsidP="008D4334">
      <w:pPr>
        <w:pStyle w:val="Heading2"/>
        <w:spacing w:line="240" w:lineRule="auto"/>
        <w:rPr>
          <w:rFonts w:ascii="Arial" w:hAnsi="Arial" w:cs="Arial"/>
          <w:color w:val="0432FF"/>
        </w:rPr>
      </w:pPr>
      <w:r w:rsidRPr="00540A03">
        <w:rPr>
          <w:rFonts w:ascii="Arial" w:hAnsi="Arial" w:cs="Arial"/>
          <w:color w:val="0432FF"/>
        </w:rPr>
        <w:t>VII. Román et al. - Satellite-Based Assessment of Electricity Restoration Efforts in Puerto Rico after Hurricane Maria</w:t>
      </w:r>
    </w:p>
    <w:p w14:paraId="5DC718E6" w14:textId="77777777" w:rsidR="00622D94" w:rsidRPr="00622D94" w:rsidRDefault="00622D94" w:rsidP="008D4334">
      <w:pPr>
        <w:spacing w:line="240" w:lineRule="auto"/>
        <w:ind w:left="720"/>
      </w:pPr>
    </w:p>
    <w:p w14:paraId="0B197C7C" w14:textId="77777777" w:rsidR="00985108" w:rsidRPr="00DF1384" w:rsidRDefault="009E37BA" w:rsidP="008D4334">
      <w:pPr>
        <w:spacing w:line="240" w:lineRule="auto"/>
        <w:ind w:left="720"/>
        <w:rPr>
          <w:rFonts w:ascii="Arial" w:hAnsi="Arial" w:cs="Arial"/>
        </w:rPr>
      </w:pPr>
      <w:r w:rsidRPr="00DF1384">
        <w:rPr>
          <w:rFonts w:ascii="Arial" w:hAnsi="Arial" w:cs="Arial"/>
        </w:rPr>
        <w:t>Román et al. (2019) is a key reference for interpreting NTL as a proxy for electricity restoration after disaster. The study uses satellite observations to assess restoration patterns after Hurricane Maria in Puerto Rico, thereby moving the literature from generic economic proxy use toward infrastructure-oriented recovery monitoring. This paper helped demonstrate that nighttime lights can support post-disaster electricity-restoration assessment when the event is severe, spatially extensive, and externally documented.</w:t>
      </w:r>
    </w:p>
    <w:p w14:paraId="0D423263" w14:textId="77777777" w:rsidR="00622D94" w:rsidRDefault="009E37BA" w:rsidP="008D4334">
      <w:pPr>
        <w:spacing w:line="240" w:lineRule="auto"/>
        <w:ind w:left="720"/>
        <w:rPr>
          <w:rFonts w:ascii="Arial" w:hAnsi="Arial" w:cs="Arial"/>
        </w:rPr>
      </w:pPr>
      <w:r w:rsidRPr="00DF1384">
        <w:rPr>
          <w:rFonts w:ascii="Arial" w:hAnsi="Arial" w:cs="Arial"/>
        </w:rPr>
        <w:t>The study is highly relevant because it anchors NTL interpretation in an electricity-recovery question rather than a vague recovery claim. Its limitation is that the strength of the interpretation depends on the event context and the availability of external information. In other tropical regions, cloud cover, intermittent valid observations, settlement heterogeneity, and differences between public lighting and household electricity may weaken a direct brightness-to-restoration interpretation. The transferable lesson is therefore not that NTL automatically measures power recovery, but that NTL can support electricity-related recovery claims when observability and validation conditions are met.</w:t>
      </w:r>
    </w:p>
    <w:p w14:paraId="239D22CC" w14:textId="241C91EF" w:rsidR="00985108" w:rsidRDefault="009E37BA" w:rsidP="008D4334">
      <w:pPr>
        <w:spacing w:line="240" w:lineRule="auto"/>
        <w:ind w:left="720"/>
        <w:rPr>
          <w:rFonts w:ascii="Arial" w:hAnsi="Arial" w:cs="Arial"/>
          <w:color w:val="C00000"/>
        </w:rPr>
      </w:pPr>
      <w:r w:rsidRPr="00622D94">
        <w:rPr>
          <w:rFonts w:ascii="Arial" w:hAnsi="Arial" w:cs="Arial"/>
          <w:color w:val="C00000"/>
        </w:rPr>
        <w:t xml:space="preserve">Román, M. O., Stokes, E. C., Shrestha, R., Wang, Z., Schultz, L., Carlo, E. A. S., Sun, Q., Bell, J., Molthan, A., Kalb, V., Ji, C., Seto, K. C., McClain, S. N., &amp; </w:t>
      </w:r>
      <w:proofErr w:type="spellStart"/>
      <w:r w:rsidRPr="00622D94">
        <w:rPr>
          <w:rFonts w:ascii="Arial" w:hAnsi="Arial" w:cs="Arial"/>
          <w:color w:val="C00000"/>
        </w:rPr>
        <w:t>Enenkel</w:t>
      </w:r>
      <w:proofErr w:type="spellEnd"/>
      <w:r w:rsidRPr="00622D94">
        <w:rPr>
          <w:rFonts w:ascii="Arial" w:hAnsi="Arial" w:cs="Arial"/>
          <w:color w:val="C00000"/>
        </w:rPr>
        <w:t xml:space="preserve">, M. (2019). Satellite-based assessment of electricity restoration efforts in Puerto Rico after Hurricane Maria. PLOS ONE, 14(6), e0218883. </w:t>
      </w:r>
      <w:hyperlink r:id="rId14" w:history="1">
        <w:r w:rsidR="00622D94" w:rsidRPr="00FE5C29">
          <w:rPr>
            <w:rStyle w:val="Hyperlink"/>
            <w:rFonts w:ascii="Arial" w:hAnsi="Arial" w:cs="Arial"/>
          </w:rPr>
          <w:t>https://doi.org/10.1371/journal.pone.0218883</w:t>
        </w:r>
      </w:hyperlink>
      <w:r w:rsidR="00622D94">
        <w:rPr>
          <w:rFonts w:ascii="Arial" w:hAnsi="Arial" w:cs="Arial"/>
          <w:color w:val="C00000"/>
        </w:rPr>
        <w:t xml:space="preserve"> </w:t>
      </w:r>
    </w:p>
    <w:p w14:paraId="4066BFEB" w14:textId="77777777" w:rsidR="00540A03" w:rsidRPr="00622D94" w:rsidRDefault="00540A03" w:rsidP="008D4334">
      <w:pPr>
        <w:spacing w:line="240" w:lineRule="auto"/>
        <w:ind w:left="720"/>
        <w:rPr>
          <w:rFonts w:ascii="Arial" w:hAnsi="Arial" w:cs="Arial"/>
          <w:color w:val="C00000"/>
        </w:rPr>
      </w:pPr>
    </w:p>
    <w:p w14:paraId="5E4CAAD3" w14:textId="5A257865" w:rsidR="00985108" w:rsidRPr="00540A03" w:rsidRDefault="00622D94" w:rsidP="008D4334">
      <w:pPr>
        <w:pStyle w:val="Heading2"/>
        <w:spacing w:line="240" w:lineRule="auto"/>
        <w:rPr>
          <w:rFonts w:ascii="Arial" w:hAnsi="Arial" w:cs="Arial"/>
          <w:color w:val="0432FF"/>
        </w:rPr>
      </w:pPr>
      <w:r w:rsidRPr="00540A03">
        <w:rPr>
          <w:rFonts w:ascii="Arial" w:hAnsi="Arial" w:cs="Arial"/>
          <w:color w:val="0432FF"/>
        </w:rPr>
        <w:t>VIII. Shermeyer - Assessment of Electrical and Infrastructure Recovery in Puerto Rico following Hurricane Maria</w:t>
      </w:r>
    </w:p>
    <w:p w14:paraId="79946DD8" w14:textId="77777777" w:rsidR="00622D94" w:rsidRPr="00622D94" w:rsidRDefault="00622D94" w:rsidP="008D4334">
      <w:pPr>
        <w:spacing w:line="240" w:lineRule="auto"/>
      </w:pPr>
    </w:p>
    <w:p w14:paraId="3E423BC4" w14:textId="77777777" w:rsidR="00985108" w:rsidRPr="00DF1384" w:rsidRDefault="009E37BA" w:rsidP="008D4334">
      <w:pPr>
        <w:spacing w:line="240" w:lineRule="auto"/>
        <w:ind w:left="720"/>
        <w:rPr>
          <w:rFonts w:ascii="Arial" w:hAnsi="Arial" w:cs="Arial"/>
        </w:rPr>
      </w:pPr>
      <w:r w:rsidRPr="00DF1384">
        <w:rPr>
          <w:rFonts w:ascii="Arial" w:hAnsi="Arial" w:cs="Arial"/>
        </w:rPr>
        <w:t>Shermeyer (2018) examines electrical and infrastructure recovery in Puerto Rico after Hurricane Maria using a multisource time series. The study combines VIIRS nighttime imagery with Landsat-derived information, population data, and building footprints, creating a broader geospatial context for interpreting post-hurricane recovery. This approach is relevant because it does not rely on NTL alone; it embeds nighttime radiance within physical and demographic layers.</w:t>
      </w:r>
    </w:p>
    <w:p w14:paraId="2B50F9CF" w14:textId="77777777" w:rsidR="000C7E15" w:rsidRDefault="009E37BA" w:rsidP="008D4334">
      <w:pPr>
        <w:spacing w:line="240" w:lineRule="auto"/>
        <w:ind w:left="720"/>
        <w:rPr>
          <w:rFonts w:ascii="Arial" w:hAnsi="Arial" w:cs="Arial"/>
        </w:rPr>
      </w:pPr>
      <w:r w:rsidRPr="00DF1384">
        <w:rPr>
          <w:rFonts w:ascii="Arial" w:hAnsi="Arial" w:cs="Arial"/>
        </w:rPr>
        <w:t>The contribution lies in showing how NTL can be coupled with settlement and infrastructure information to infer where electrical and built-system recovery may remain incomplete. The limitation is that multisource fusion may improve spatial interpretation without fully resolving the causal meaning of brightness. Emergency generators, public lighting, uneven household reconnection, and cloud-screened observations can still complicate interpretation. The study nevertheless supports the use of GHSL and electricity data as contextual anchors for a tropical NTL recovery workflow.</w:t>
      </w:r>
    </w:p>
    <w:p w14:paraId="09B287F3" w14:textId="0B12E42B" w:rsidR="00985108" w:rsidRDefault="009E37BA" w:rsidP="008D4334">
      <w:pPr>
        <w:spacing w:line="240" w:lineRule="auto"/>
        <w:ind w:left="720"/>
        <w:rPr>
          <w:rFonts w:ascii="Arial" w:hAnsi="Arial" w:cs="Arial"/>
        </w:rPr>
      </w:pPr>
      <w:r w:rsidRPr="00DF1384">
        <w:rPr>
          <w:rFonts w:ascii="Arial" w:hAnsi="Arial" w:cs="Arial"/>
        </w:rPr>
        <w:t xml:space="preserve">Shermeyer, J. (2018). Assessment of electrical and infrastructure recovery in Puerto Rico following Hurricane Maria using a multisource time series of satellite imagery. </w:t>
      </w:r>
      <w:proofErr w:type="spellStart"/>
      <w:r w:rsidRPr="00DF1384">
        <w:rPr>
          <w:rFonts w:ascii="Arial" w:hAnsi="Arial" w:cs="Arial"/>
        </w:rPr>
        <w:t>arXiv</w:t>
      </w:r>
      <w:proofErr w:type="spellEnd"/>
      <w:r w:rsidRPr="00DF1384">
        <w:rPr>
          <w:rFonts w:ascii="Arial" w:hAnsi="Arial" w:cs="Arial"/>
        </w:rPr>
        <w:t xml:space="preserve">. </w:t>
      </w:r>
      <w:hyperlink r:id="rId15" w:history="1">
        <w:r w:rsidR="000C7E15" w:rsidRPr="00FE5C29">
          <w:rPr>
            <w:rStyle w:val="Hyperlink"/>
            <w:rFonts w:ascii="Arial" w:hAnsi="Arial" w:cs="Arial"/>
          </w:rPr>
          <w:t>https://doi.org/10.48550/arXiv.1807.05854</w:t>
        </w:r>
      </w:hyperlink>
      <w:r w:rsidR="000C7E15">
        <w:rPr>
          <w:rFonts w:ascii="Arial" w:hAnsi="Arial" w:cs="Arial"/>
        </w:rPr>
        <w:t xml:space="preserve"> </w:t>
      </w:r>
    </w:p>
    <w:p w14:paraId="0AFC6A94" w14:textId="77777777" w:rsidR="00540A03" w:rsidRPr="00DF1384" w:rsidRDefault="00540A03" w:rsidP="008D4334">
      <w:pPr>
        <w:spacing w:line="240" w:lineRule="auto"/>
        <w:ind w:left="720"/>
        <w:rPr>
          <w:rFonts w:ascii="Arial" w:hAnsi="Arial" w:cs="Arial"/>
        </w:rPr>
      </w:pPr>
    </w:p>
    <w:p w14:paraId="21162383" w14:textId="1C528819" w:rsidR="00985108" w:rsidRPr="00540A03" w:rsidRDefault="000C7E15" w:rsidP="008D4334">
      <w:pPr>
        <w:pStyle w:val="Heading2"/>
        <w:spacing w:line="240" w:lineRule="auto"/>
        <w:rPr>
          <w:rFonts w:ascii="Arial" w:hAnsi="Arial" w:cs="Arial"/>
          <w:color w:val="0432FF"/>
        </w:rPr>
      </w:pPr>
      <w:r w:rsidRPr="00540A03">
        <w:rPr>
          <w:rFonts w:ascii="Arial" w:hAnsi="Arial" w:cs="Arial"/>
          <w:color w:val="0432FF"/>
        </w:rPr>
        <w:lastRenderedPageBreak/>
        <w:t>IX. Kyba et al. - Artificially Lit Surface of Earth at Night Increasing in Radiance and Extent</w:t>
      </w:r>
    </w:p>
    <w:p w14:paraId="083BC396" w14:textId="77777777" w:rsidR="000C7E15" w:rsidRPr="000C7E15" w:rsidRDefault="000C7E15" w:rsidP="008D4334">
      <w:pPr>
        <w:spacing w:line="240" w:lineRule="auto"/>
      </w:pPr>
    </w:p>
    <w:p w14:paraId="695D0ED6" w14:textId="77777777" w:rsidR="00985108" w:rsidRPr="00DF1384" w:rsidRDefault="009E37BA" w:rsidP="008D4334">
      <w:pPr>
        <w:spacing w:line="240" w:lineRule="auto"/>
        <w:ind w:left="720"/>
        <w:rPr>
          <w:rFonts w:ascii="Arial" w:hAnsi="Arial" w:cs="Arial"/>
        </w:rPr>
      </w:pPr>
      <w:r w:rsidRPr="00DF1384">
        <w:rPr>
          <w:rFonts w:ascii="Arial" w:hAnsi="Arial" w:cs="Arial"/>
        </w:rPr>
        <w:t>Kyba et al. (2017) show that the artificially lit surface of Earth has generally increased in both radiance and extent. Although not a disaster paper, the study is crucial for baseline interpretation. Disaster recovery is often defined against a pre-event normal condition, but this paper shows that the nightscape is not stationary. Urbanization, electrification, lighting policy, and lighting technology can all shift brightness over time.</w:t>
      </w:r>
    </w:p>
    <w:p w14:paraId="3D298E40" w14:textId="77777777" w:rsidR="007B4C71" w:rsidRDefault="009E37BA" w:rsidP="008D4334">
      <w:pPr>
        <w:spacing w:line="240" w:lineRule="auto"/>
        <w:ind w:left="720"/>
        <w:rPr>
          <w:rFonts w:ascii="Arial" w:hAnsi="Arial" w:cs="Arial"/>
        </w:rPr>
      </w:pPr>
      <w:r w:rsidRPr="00DF1384">
        <w:rPr>
          <w:rFonts w:ascii="Arial" w:hAnsi="Arial" w:cs="Arial"/>
        </w:rPr>
        <w:t>The implication for recovery studies is that a fixed pre-event mean may be an inadequate counterfactual. If a region was brightening before a disaster, returning to pre-event brightness may still represent under-recovery relative to the expected trajectory. Conversely, lighting efficiency or spectral shifts can reduce observed radiance without implying socioeconomic decline. This supports the use of dynamic baselines, counterfactual modelling, or adaptive forecasting rather than simple pre/post differencing.</w:t>
      </w:r>
    </w:p>
    <w:p w14:paraId="07A7E12E" w14:textId="57978C75" w:rsidR="00985108" w:rsidRDefault="009E37BA" w:rsidP="008D4334">
      <w:pPr>
        <w:spacing w:line="240" w:lineRule="auto"/>
        <w:ind w:left="720"/>
        <w:rPr>
          <w:rFonts w:ascii="Arial" w:hAnsi="Arial" w:cs="Arial"/>
          <w:color w:val="C00000"/>
        </w:rPr>
      </w:pPr>
      <w:r w:rsidRPr="007B4C71">
        <w:rPr>
          <w:rFonts w:ascii="Arial" w:hAnsi="Arial" w:cs="Arial"/>
          <w:color w:val="C00000"/>
        </w:rPr>
        <w:t xml:space="preserve">Kyba, C. C. M., Kuester, T., Sánchez de Miguel, A., Baugh, K., </w:t>
      </w:r>
      <w:proofErr w:type="spellStart"/>
      <w:r w:rsidRPr="007B4C71">
        <w:rPr>
          <w:rFonts w:ascii="Arial" w:hAnsi="Arial" w:cs="Arial"/>
          <w:color w:val="C00000"/>
        </w:rPr>
        <w:t>Jechow</w:t>
      </w:r>
      <w:proofErr w:type="spellEnd"/>
      <w:r w:rsidRPr="007B4C71">
        <w:rPr>
          <w:rFonts w:ascii="Arial" w:hAnsi="Arial" w:cs="Arial"/>
          <w:color w:val="C00000"/>
        </w:rPr>
        <w:t xml:space="preserve">, A., </w:t>
      </w:r>
      <w:proofErr w:type="spellStart"/>
      <w:r w:rsidRPr="007B4C71">
        <w:rPr>
          <w:rFonts w:ascii="Arial" w:hAnsi="Arial" w:cs="Arial"/>
          <w:color w:val="C00000"/>
        </w:rPr>
        <w:t>Hölker</w:t>
      </w:r>
      <w:proofErr w:type="spellEnd"/>
      <w:r w:rsidRPr="007B4C71">
        <w:rPr>
          <w:rFonts w:ascii="Arial" w:hAnsi="Arial" w:cs="Arial"/>
          <w:color w:val="C00000"/>
        </w:rPr>
        <w:t xml:space="preserve">, F., Bennie, J., Elvidge, C. D., Gaston, K. J., &amp; </w:t>
      </w:r>
      <w:proofErr w:type="spellStart"/>
      <w:r w:rsidRPr="007B4C71">
        <w:rPr>
          <w:rFonts w:ascii="Arial" w:hAnsi="Arial" w:cs="Arial"/>
          <w:color w:val="C00000"/>
        </w:rPr>
        <w:t>Guanter</w:t>
      </w:r>
      <w:proofErr w:type="spellEnd"/>
      <w:r w:rsidRPr="007B4C71">
        <w:rPr>
          <w:rFonts w:ascii="Arial" w:hAnsi="Arial" w:cs="Arial"/>
          <w:color w:val="C00000"/>
        </w:rPr>
        <w:t xml:space="preserve">, L. (2017). Artificially lit surface of Earth at night increasing in radiance and extent. Science Advances, 3(11), e1701528. </w:t>
      </w:r>
      <w:hyperlink r:id="rId16" w:history="1">
        <w:r w:rsidR="007B4C71" w:rsidRPr="00FE5C29">
          <w:rPr>
            <w:rStyle w:val="Hyperlink"/>
            <w:rFonts w:ascii="Arial" w:hAnsi="Arial" w:cs="Arial"/>
          </w:rPr>
          <w:t>https://doi.org/10.1126/sciadv.1701528</w:t>
        </w:r>
      </w:hyperlink>
      <w:r w:rsidR="007B4C71">
        <w:rPr>
          <w:rFonts w:ascii="Arial" w:hAnsi="Arial" w:cs="Arial"/>
          <w:color w:val="C00000"/>
        </w:rPr>
        <w:t xml:space="preserve"> </w:t>
      </w:r>
    </w:p>
    <w:p w14:paraId="330F44EA" w14:textId="77777777" w:rsidR="00540A03" w:rsidRPr="007B4C71" w:rsidRDefault="00540A03" w:rsidP="008D4334">
      <w:pPr>
        <w:spacing w:line="240" w:lineRule="auto"/>
        <w:ind w:left="720"/>
        <w:rPr>
          <w:rFonts w:ascii="Arial" w:hAnsi="Arial" w:cs="Arial"/>
          <w:color w:val="C00000"/>
        </w:rPr>
      </w:pPr>
    </w:p>
    <w:p w14:paraId="4E76576F" w14:textId="1D42AE27" w:rsidR="00985108" w:rsidRPr="00540A03" w:rsidRDefault="007B4C71" w:rsidP="008D4334">
      <w:pPr>
        <w:pStyle w:val="Heading2"/>
        <w:spacing w:line="240" w:lineRule="auto"/>
        <w:rPr>
          <w:rFonts w:ascii="Arial" w:hAnsi="Arial" w:cs="Arial"/>
          <w:color w:val="0432FF"/>
        </w:rPr>
      </w:pPr>
      <w:r w:rsidRPr="00540A03">
        <w:rPr>
          <w:rFonts w:ascii="Arial" w:hAnsi="Arial" w:cs="Arial"/>
          <w:color w:val="0432FF"/>
        </w:rPr>
        <w:t>X. Levin et al. - Remote Sensing of Night Lights: A Review and an Outlook for the Future</w:t>
      </w:r>
    </w:p>
    <w:p w14:paraId="399F0E3B" w14:textId="77777777" w:rsidR="007B4C71" w:rsidRDefault="007B4C71" w:rsidP="008D4334">
      <w:pPr>
        <w:spacing w:line="240" w:lineRule="auto"/>
        <w:ind w:left="720"/>
        <w:rPr>
          <w:rFonts w:ascii="Arial" w:hAnsi="Arial" w:cs="Arial"/>
        </w:rPr>
      </w:pPr>
    </w:p>
    <w:p w14:paraId="2D05203B" w14:textId="221FD0EE" w:rsidR="00985108" w:rsidRPr="00DF1384" w:rsidRDefault="009E37BA" w:rsidP="008D4334">
      <w:pPr>
        <w:spacing w:line="240" w:lineRule="auto"/>
        <w:ind w:left="720"/>
        <w:rPr>
          <w:rFonts w:ascii="Arial" w:hAnsi="Arial" w:cs="Arial"/>
        </w:rPr>
      </w:pPr>
      <w:r w:rsidRPr="00DF1384">
        <w:rPr>
          <w:rFonts w:ascii="Arial" w:hAnsi="Arial" w:cs="Arial"/>
        </w:rPr>
        <w:t>Levin et al. (2020) provide a broad review of nighttime lights remote sensing, including sensors, products, applications, and unresolved methodological issues. The paper is important because it synthesizes the field beyond economics and urbanization, covering light pollution, human activity, energy access, ecology, and disaster applications. It also emphasizes that NTL observations are shaped by sensor design, spectral response, spatial resolution, overpass time, atmospheric conditions, and emission geometry.</w:t>
      </w:r>
    </w:p>
    <w:p w14:paraId="2735C686" w14:textId="77777777" w:rsidR="00126FE7" w:rsidRDefault="009E37BA" w:rsidP="008D4334">
      <w:pPr>
        <w:spacing w:line="240" w:lineRule="auto"/>
        <w:ind w:left="720"/>
        <w:rPr>
          <w:rFonts w:ascii="Arial" w:hAnsi="Arial" w:cs="Arial"/>
        </w:rPr>
      </w:pPr>
      <w:r w:rsidRPr="00DF1384">
        <w:rPr>
          <w:rFonts w:ascii="Arial" w:hAnsi="Arial" w:cs="Arial"/>
        </w:rPr>
        <w:t xml:space="preserve">For disaster research, Levin et al. clarify that NTL is not a neutral brightness record. It is a sensor-specific measurement of emitted and reflected light under </w:t>
      </w:r>
      <w:proofErr w:type="gramStart"/>
      <w:r w:rsidRPr="00DF1384">
        <w:rPr>
          <w:rFonts w:ascii="Arial" w:hAnsi="Arial" w:cs="Arial"/>
        </w:rPr>
        <w:t>particular viewing</w:t>
      </w:r>
      <w:proofErr w:type="gramEnd"/>
      <w:r w:rsidRPr="00DF1384">
        <w:rPr>
          <w:rFonts w:ascii="Arial" w:hAnsi="Arial" w:cs="Arial"/>
        </w:rPr>
        <w:t xml:space="preserve"> and atmospheric conditions. This is directly relevant to cloud-impacted tropical recovery analysis: sensor limitations and observation conditions must be treated as part of the evidence, not as peripheral preprocessing. The review supports the premise that methodology and interpretation cannot be separated in NTL applications.</w:t>
      </w:r>
    </w:p>
    <w:p w14:paraId="2A8BCB9F" w14:textId="4E2A090D" w:rsidR="00985108" w:rsidRPr="00126FE7" w:rsidRDefault="009E37BA" w:rsidP="008D4334">
      <w:pPr>
        <w:spacing w:line="240" w:lineRule="auto"/>
        <w:ind w:left="720"/>
        <w:rPr>
          <w:rFonts w:ascii="Arial" w:hAnsi="Arial" w:cs="Arial"/>
          <w:color w:val="C00000"/>
        </w:rPr>
      </w:pPr>
      <w:r w:rsidRPr="00126FE7">
        <w:rPr>
          <w:rFonts w:ascii="Arial" w:hAnsi="Arial" w:cs="Arial"/>
          <w:color w:val="C00000"/>
        </w:rPr>
        <w:t xml:space="preserve">Levin, N., Kyba, C. C. M., Zhang, Q., Sánchez de Miguel, A., Román, M. O., Li, X., Portnov, B. A., Molthan, A. L., </w:t>
      </w:r>
      <w:proofErr w:type="spellStart"/>
      <w:r w:rsidRPr="00126FE7">
        <w:rPr>
          <w:rFonts w:ascii="Arial" w:hAnsi="Arial" w:cs="Arial"/>
          <w:color w:val="C00000"/>
        </w:rPr>
        <w:t>Jechow</w:t>
      </w:r>
      <w:proofErr w:type="spellEnd"/>
      <w:r w:rsidRPr="00126FE7">
        <w:rPr>
          <w:rFonts w:ascii="Arial" w:hAnsi="Arial" w:cs="Arial"/>
          <w:color w:val="C00000"/>
        </w:rPr>
        <w:t xml:space="preserve">, A., Miller, S. D., Wang, Z., Shrestha, R. M., &amp; Elvidge, C. D. (2020). Remote sensing of night lights: A review and an outlook for the future. Remote Sensing of Environment, 237, 111443. </w:t>
      </w:r>
      <w:hyperlink r:id="rId17" w:history="1">
        <w:r w:rsidR="00126FE7" w:rsidRPr="00FE5C29">
          <w:rPr>
            <w:rStyle w:val="Hyperlink"/>
            <w:rFonts w:ascii="Arial" w:hAnsi="Arial" w:cs="Arial"/>
          </w:rPr>
          <w:t>https://doi.org/10.1016/j.rse.2019.111443</w:t>
        </w:r>
      </w:hyperlink>
      <w:r w:rsidR="00126FE7">
        <w:rPr>
          <w:rFonts w:ascii="Arial" w:hAnsi="Arial" w:cs="Arial"/>
          <w:color w:val="C00000"/>
        </w:rPr>
        <w:t xml:space="preserve"> </w:t>
      </w:r>
    </w:p>
    <w:p w14:paraId="500F67F4" w14:textId="601E024D" w:rsidR="00985108" w:rsidRPr="00540A03" w:rsidRDefault="00126FE7" w:rsidP="008D4334">
      <w:pPr>
        <w:pStyle w:val="Heading2"/>
        <w:spacing w:line="240" w:lineRule="auto"/>
        <w:rPr>
          <w:rFonts w:ascii="Arial" w:hAnsi="Arial" w:cs="Arial"/>
          <w:color w:val="0432FF"/>
        </w:rPr>
      </w:pPr>
      <w:r w:rsidRPr="00540A03">
        <w:rPr>
          <w:rFonts w:ascii="Arial" w:hAnsi="Arial" w:cs="Arial"/>
          <w:color w:val="0432FF"/>
        </w:rPr>
        <w:t>XI. Small - Spatiotemporal Characterization of VIIRS Night Light</w:t>
      </w:r>
    </w:p>
    <w:p w14:paraId="33D10C0A" w14:textId="77777777" w:rsidR="00126FE7" w:rsidRDefault="00126FE7" w:rsidP="008D4334">
      <w:pPr>
        <w:spacing w:line="240" w:lineRule="auto"/>
        <w:rPr>
          <w:rFonts w:ascii="Arial" w:hAnsi="Arial" w:cs="Arial"/>
        </w:rPr>
      </w:pPr>
    </w:p>
    <w:p w14:paraId="7A13E9A2" w14:textId="7A4B3F87" w:rsidR="00985108" w:rsidRPr="00DF1384" w:rsidRDefault="009E37BA" w:rsidP="008D4334">
      <w:pPr>
        <w:spacing w:line="240" w:lineRule="auto"/>
        <w:ind w:left="720"/>
        <w:rPr>
          <w:rFonts w:ascii="Arial" w:hAnsi="Arial" w:cs="Arial"/>
        </w:rPr>
      </w:pPr>
      <w:r w:rsidRPr="00DF1384">
        <w:rPr>
          <w:rFonts w:ascii="Arial" w:hAnsi="Arial" w:cs="Arial"/>
        </w:rPr>
        <w:t>Small (2021) examines the spatial and temporal structure of VIIRS nighttime lights and highlights a key problem for daily applications: variability is not uniform across brightness regimes. Low-light pixels are more volatile, while brighter pixels tend to be more stable. This implies that apparent temporal change can depend strongly on the baseline radiance level and local spatial context.</w:t>
      </w:r>
    </w:p>
    <w:p w14:paraId="4D32073C" w14:textId="77777777" w:rsidR="00126FE7" w:rsidRDefault="009E37BA" w:rsidP="008D4334">
      <w:pPr>
        <w:spacing w:line="240" w:lineRule="auto"/>
        <w:ind w:left="720"/>
        <w:rPr>
          <w:rFonts w:ascii="Arial" w:hAnsi="Arial" w:cs="Arial"/>
        </w:rPr>
      </w:pPr>
      <w:r w:rsidRPr="00DF1384">
        <w:rPr>
          <w:rFonts w:ascii="Arial" w:hAnsi="Arial" w:cs="Arial"/>
        </w:rPr>
        <w:t>The paper is important for settlement-stratified disaster analysis. If low-radiance rural or peri-urban pixels have higher relative variability, then regional averaging across bright cores and dim settlements can create misleading recovery curves. The study supports treating brightness regime, settlement morphology, and observation quality as interpretability conditions. For a tropical recovery study, this points toward GHSL-stratified analysis and uncertainty reporting rather than a single regional mean.</w:t>
      </w:r>
    </w:p>
    <w:p w14:paraId="61C53E1C" w14:textId="67AFDBA7" w:rsidR="00985108" w:rsidRDefault="009E37BA" w:rsidP="008D4334">
      <w:pPr>
        <w:spacing w:line="240" w:lineRule="auto"/>
        <w:ind w:left="720"/>
        <w:rPr>
          <w:rFonts w:ascii="Arial" w:hAnsi="Arial" w:cs="Arial"/>
        </w:rPr>
      </w:pPr>
      <w:r w:rsidRPr="00DF1384">
        <w:rPr>
          <w:rFonts w:ascii="Arial" w:hAnsi="Arial" w:cs="Arial"/>
        </w:rPr>
        <w:lastRenderedPageBreak/>
        <w:t xml:space="preserve">Small, C. (2021). Spatiotemporal characterization of VIIRS night light. </w:t>
      </w:r>
      <w:proofErr w:type="spellStart"/>
      <w:r w:rsidRPr="00DF1384">
        <w:rPr>
          <w:rFonts w:ascii="Arial" w:hAnsi="Arial" w:cs="Arial"/>
        </w:rPr>
        <w:t>arXiv</w:t>
      </w:r>
      <w:proofErr w:type="spellEnd"/>
      <w:r w:rsidRPr="00DF1384">
        <w:rPr>
          <w:rFonts w:ascii="Arial" w:hAnsi="Arial" w:cs="Arial"/>
        </w:rPr>
        <w:t xml:space="preserve">. </w:t>
      </w:r>
      <w:hyperlink r:id="rId18" w:history="1">
        <w:r w:rsidR="00126FE7" w:rsidRPr="00FE5C29">
          <w:rPr>
            <w:rStyle w:val="Hyperlink"/>
            <w:rFonts w:ascii="Arial" w:hAnsi="Arial" w:cs="Arial"/>
          </w:rPr>
          <w:t>https://doi.org/10.48550/arXiv.2109.06913</w:t>
        </w:r>
      </w:hyperlink>
      <w:r w:rsidR="00126FE7">
        <w:rPr>
          <w:rFonts w:ascii="Arial" w:hAnsi="Arial" w:cs="Arial"/>
        </w:rPr>
        <w:t xml:space="preserve"> </w:t>
      </w:r>
    </w:p>
    <w:p w14:paraId="2ECFB009" w14:textId="77777777" w:rsidR="00540A03" w:rsidRPr="00DF1384" w:rsidRDefault="00540A03" w:rsidP="008D4334">
      <w:pPr>
        <w:spacing w:line="240" w:lineRule="auto"/>
        <w:ind w:left="720"/>
        <w:rPr>
          <w:rFonts w:ascii="Arial" w:hAnsi="Arial" w:cs="Arial"/>
        </w:rPr>
      </w:pPr>
    </w:p>
    <w:p w14:paraId="66ECA56A" w14:textId="5A250618" w:rsidR="00985108" w:rsidRPr="00540A03" w:rsidRDefault="00341721" w:rsidP="008D4334">
      <w:pPr>
        <w:pStyle w:val="Heading2"/>
        <w:spacing w:line="240" w:lineRule="auto"/>
        <w:rPr>
          <w:rFonts w:ascii="Arial" w:hAnsi="Arial" w:cs="Arial"/>
          <w:color w:val="0432FF"/>
        </w:rPr>
      </w:pPr>
      <w:r w:rsidRPr="00540A03">
        <w:rPr>
          <w:rFonts w:ascii="Arial" w:hAnsi="Arial" w:cs="Arial"/>
          <w:color w:val="0432FF"/>
        </w:rPr>
        <w:t>XII. Hung et al. - Changes in Night Sky Brightness after a Countywide LED Retrofit</w:t>
      </w:r>
    </w:p>
    <w:p w14:paraId="780E798A" w14:textId="77777777" w:rsidR="00341721" w:rsidRDefault="00341721" w:rsidP="008D4334">
      <w:pPr>
        <w:spacing w:line="240" w:lineRule="auto"/>
        <w:ind w:left="720"/>
        <w:rPr>
          <w:rFonts w:ascii="Arial" w:hAnsi="Arial" w:cs="Arial"/>
        </w:rPr>
      </w:pPr>
    </w:p>
    <w:p w14:paraId="1F92CD45" w14:textId="5967A414" w:rsidR="00985108" w:rsidRPr="00DF1384" w:rsidRDefault="009E37BA" w:rsidP="008D4334">
      <w:pPr>
        <w:spacing w:line="240" w:lineRule="auto"/>
        <w:ind w:left="720"/>
        <w:rPr>
          <w:rFonts w:ascii="Arial" w:hAnsi="Arial" w:cs="Arial"/>
        </w:rPr>
      </w:pPr>
      <w:r w:rsidRPr="00DF1384">
        <w:rPr>
          <w:rFonts w:ascii="Arial" w:hAnsi="Arial" w:cs="Arial"/>
        </w:rPr>
        <w:t>Hung et al. (2021) compare ground-based sky brightness measurements with VIIRS observations after a countywide LED retrofit. The study found that ground-observed skyglow increased while VIIRS-measured upward radiance decreased. This divergence is critical for NTL interpretation because it shows that satellite-measured radiance can move in the opposite direction from human-experienced night-sky brightness.</w:t>
      </w:r>
    </w:p>
    <w:p w14:paraId="22A5A48B" w14:textId="77777777" w:rsidR="00341721" w:rsidRDefault="009E37BA" w:rsidP="008D4334">
      <w:pPr>
        <w:spacing w:line="240" w:lineRule="auto"/>
        <w:ind w:left="720"/>
        <w:rPr>
          <w:rFonts w:ascii="Arial" w:hAnsi="Arial" w:cs="Arial"/>
        </w:rPr>
      </w:pPr>
      <w:r w:rsidRPr="00DF1384">
        <w:rPr>
          <w:rFonts w:ascii="Arial" w:hAnsi="Arial" w:cs="Arial"/>
        </w:rPr>
        <w:t>The relevance to disaster recovery is interpretive. Apparent radiance change can reflect spectral shifts, shielding, emission direction, and VIIRS blue-light insensitivity, not only human activity or electricity restoration. In post-disaster contexts, reconstruction may coincide with changes in lighting technology or fixture type. Therefore, NTL should be interpreted as VIIRS-observed upward radiance, not as total illumination, total electricity use, or welfare. This strengthens the need for independent validation when electricity or recovery claims are made.</w:t>
      </w:r>
    </w:p>
    <w:p w14:paraId="7D8C922C" w14:textId="4FFA9FB9" w:rsidR="00985108" w:rsidRDefault="009E37BA" w:rsidP="008D4334">
      <w:pPr>
        <w:spacing w:line="240" w:lineRule="auto"/>
        <w:ind w:left="720"/>
        <w:rPr>
          <w:rFonts w:ascii="Arial" w:hAnsi="Arial" w:cs="Arial"/>
          <w:color w:val="C00000"/>
        </w:rPr>
      </w:pPr>
      <w:r w:rsidRPr="00341721">
        <w:rPr>
          <w:rFonts w:ascii="Arial" w:hAnsi="Arial" w:cs="Arial"/>
          <w:color w:val="C00000"/>
        </w:rPr>
        <w:t xml:space="preserve">Hung, L.-W., Anderson, S. J., Pipkin, A., &amp; Fristrup, K. (2021). Changes in night sky brightness after a countywide LED retrofit. Journal of Environmental Management, 292, 112776. </w:t>
      </w:r>
      <w:hyperlink r:id="rId19" w:history="1">
        <w:r w:rsidR="00341721" w:rsidRPr="00FE5C29">
          <w:rPr>
            <w:rStyle w:val="Hyperlink"/>
            <w:rFonts w:ascii="Arial" w:hAnsi="Arial" w:cs="Arial"/>
          </w:rPr>
          <w:t>https://doi.org/10.1016/j.jenvman.2021.112776</w:t>
        </w:r>
      </w:hyperlink>
      <w:r w:rsidR="00341721">
        <w:rPr>
          <w:rFonts w:ascii="Arial" w:hAnsi="Arial" w:cs="Arial"/>
          <w:color w:val="C00000"/>
        </w:rPr>
        <w:t xml:space="preserve"> </w:t>
      </w:r>
    </w:p>
    <w:p w14:paraId="6C436F17" w14:textId="77777777" w:rsidR="00540A03" w:rsidRPr="00341721" w:rsidRDefault="00540A03" w:rsidP="008D4334">
      <w:pPr>
        <w:spacing w:line="240" w:lineRule="auto"/>
        <w:ind w:left="720"/>
        <w:rPr>
          <w:rFonts w:ascii="Arial" w:hAnsi="Arial" w:cs="Arial"/>
          <w:color w:val="C00000"/>
        </w:rPr>
      </w:pPr>
    </w:p>
    <w:p w14:paraId="14D09CB8" w14:textId="7C72EB7A" w:rsidR="00985108" w:rsidRPr="00540A03" w:rsidRDefault="005F5100" w:rsidP="008D4334">
      <w:pPr>
        <w:pStyle w:val="Heading2"/>
        <w:spacing w:line="240" w:lineRule="auto"/>
        <w:rPr>
          <w:rFonts w:ascii="Arial" w:hAnsi="Arial" w:cs="Arial"/>
          <w:color w:val="0432FF"/>
        </w:rPr>
      </w:pPr>
      <w:r w:rsidRPr="00540A03">
        <w:rPr>
          <w:rFonts w:ascii="Arial" w:hAnsi="Arial" w:cs="Arial"/>
          <w:color w:val="0432FF"/>
        </w:rPr>
        <w:t>XIII. Zhao et al. - A Bayesian Estimator of Abrupt Change, Seasonality, and Trend in Time Series</w:t>
      </w:r>
    </w:p>
    <w:p w14:paraId="79B17669" w14:textId="77777777" w:rsidR="005F5100" w:rsidRPr="005F5100" w:rsidRDefault="005F5100" w:rsidP="008D4334">
      <w:pPr>
        <w:spacing w:line="240" w:lineRule="auto"/>
      </w:pPr>
    </w:p>
    <w:p w14:paraId="2219068D" w14:textId="77777777" w:rsidR="00985108" w:rsidRPr="00DF1384" w:rsidRDefault="009E37BA" w:rsidP="008D4334">
      <w:pPr>
        <w:spacing w:line="240" w:lineRule="auto"/>
        <w:ind w:left="720"/>
        <w:rPr>
          <w:rFonts w:ascii="Arial" w:hAnsi="Arial" w:cs="Arial"/>
        </w:rPr>
      </w:pPr>
      <w:r w:rsidRPr="00DF1384">
        <w:rPr>
          <w:rFonts w:ascii="Arial" w:hAnsi="Arial" w:cs="Arial"/>
        </w:rPr>
        <w:t>Zhao et al. (2019) introduce BEAST, a Bayesian model for detecting abrupt change, seasonality, and trend in time series. Although not developed specifically for nighttime lights, BEAST has become important for dense remote sensing time series because it can model complex temporal behavior and detect structural change under uncertainty.</w:t>
      </w:r>
    </w:p>
    <w:p w14:paraId="1CD21C24" w14:textId="77777777" w:rsidR="00E2362E" w:rsidRDefault="009E37BA" w:rsidP="008D4334">
      <w:pPr>
        <w:spacing w:line="240" w:lineRule="auto"/>
        <w:ind w:left="720"/>
        <w:rPr>
          <w:rFonts w:ascii="Arial" w:hAnsi="Arial" w:cs="Arial"/>
        </w:rPr>
      </w:pPr>
      <w:r w:rsidRPr="00DF1384">
        <w:rPr>
          <w:rFonts w:ascii="Arial" w:hAnsi="Arial" w:cs="Arial"/>
        </w:rPr>
        <w:t>For daily NTL disaster recovery, BEAST is relevant because recovery is not only a difference between two dates. It involves change timing, trend shifts, seasonal components, post-impact trajectories, and uncertainty. The method can help separate abrupt disaster shocks from background seasonal or long-term structure. However, BEAST cannot solve the observability problem by itself. If the input time series is dominated by cloud gaps or quality-screening artefacts, modelled change points may still reflect observation structure rather than true recovery.</w:t>
      </w:r>
    </w:p>
    <w:p w14:paraId="39C307BD" w14:textId="24430C7F" w:rsidR="00985108" w:rsidRPr="00E2362E" w:rsidRDefault="009E37BA" w:rsidP="008D4334">
      <w:pPr>
        <w:spacing w:line="240" w:lineRule="auto"/>
        <w:ind w:left="720"/>
        <w:rPr>
          <w:rFonts w:ascii="Arial" w:hAnsi="Arial" w:cs="Arial"/>
          <w:color w:val="C00000"/>
        </w:rPr>
      </w:pPr>
      <w:r w:rsidRPr="00E2362E">
        <w:rPr>
          <w:rFonts w:ascii="Arial" w:hAnsi="Arial" w:cs="Arial"/>
          <w:color w:val="C00000"/>
        </w:rPr>
        <w:t xml:space="preserve">Zhao, K., Wulder, M. A., Hu, T., Bright, R., Wu, Q., Qin, H., Li, Y., Toman, E., Mallick, B., Zhang, X., &amp; Brown, M. (2019). A Bayesian estimator of abrupt change, seasonality, and trend in time series. Remote Sensing of Environment, 232, 111181. </w:t>
      </w:r>
      <w:hyperlink r:id="rId20" w:history="1">
        <w:r w:rsidR="00E2362E" w:rsidRPr="00FE5C29">
          <w:rPr>
            <w:rStyle w:val="Hyperlink"/>
            <w:rFonts w:ascii="Arial" w:hAnsi="Arial" w:cs="Arial"/>
          </w:rPr>
          <w:t>https://doi.org/10.1016/j.rse.2019.111181</w:t>
        </w:r>
      </w:hyperlink>
      <w:r w:rsidR="00E2362E">
        <w:rPr>
          <w:rFonts w:ascii="Arial" w:hAnsi="Arial" w:cs="Arial"/>
          <w:color w:val="C00000"/>
        </w:rPr>
        <w:t xml:space="preserve"> </w:t>
      </w:r>
    </w:p>
    <w:p w14:paraId="0A0C9DF4" w14:textId="22D97D73" w:rsidR="00985108" w:rsidRPr="002B7094" w:rsidRDefault="00E2362E" w:rsidP="008D4334">
      <w:pPr>
        <w:pStyle w:val="Heading2"/>
        <w:spacing w:line="240" w:lineRule="auto"/>
        <w:rPr>
          <w:rFonts w:ascii="Arial" w:hAnsi="Arial" w:cs="Arial"/>
          <w:color w:val="0432FF"/>
        </w:rPr>
      </w:pPr>
      <w:r w:rsidRPr="002B7094">
        <w:rPr>
          <w:rFonts w:ascii="Arial" w:hAnsi="Arial" w:cs="Arial"/>
          <w:color w:val="0432FF"/>
        </w:rPr>
        <w:t>XIV. Chakraborty and Stokes - Adaptive Modeling of Satellite-Derived Nighttime Lights Time Series</w:t>
      </w:r>
    </w:p>
    <w:p w14:paraId="1CFA280C" w14:textId="77777777" w:rsidR="00E2362E" w:rsidRDefault="00E2362E" w:rsidP="008D4334">
      <w:pPr>
        <w:spacing w:line="240" w:lineRule="auto"/>
        <w:rPr>
          <w:rFonts w:ascii="Arial" w:hAnsi="Arial" w:cs="Arial"/>
        </w:rPr>
      </w:pPr>
    </w:p>
    <w:p w14:paraId="21144746" w14:textId="0CAE7CE5" w:rsidR="00985108" w:rsidRPr="00DF1384" w:rsidRDefault="009E37BA" w:rsidP="008D4334">
      <w:pPr>
        <w:spacing w:line="240" w:lineRule="auto"/>
        <w:ind w:left="720"/>
        <w:rPr>
          <w:rFonts w:ascii="Arial" w:hAnsi="Arial" w:cs="Arial"/>
        </w:rPr>
      </w:pPr>
      <w:r w:rsidRPr="00DF1384">
        <w:rPr>
          <w:rFonts w:ascii="Arial" w:hAnsi="Arial" w:cs="Arial"/>
        </w:rPr>
        <w:t>Chakraborty and Stokes (2023) move NTL change detection beyond static baseline comparison by using neural-network forecasting to learn expected nighttime light behavior from prior sequences. Observed lights are compared against forecasted lights, and deviations are treated as anomalies. The framework can identify direction, severity, and recovery behavior across cities with different baseline patterns.</w:t>
      </w:r>
    </w:p>
    <w:p w14:paraId="5354E2E6" w14:textId="77777777" w:rsidR="00E2362E" w:rsidRDefault="009E37BA" w:rsidP="008D4334">
      <w:pPr>
        <w:spacing w:line="240" w:lineRule="auto"/>
        <w:ind w:left="720"/>
        <w:rPr>
          <w:rFonts w:ascii="Arial" w:hAnsi="Arial" w:cs="Arial"/>
        </w:rPr>
      </w:pPr>
      <w:r w:rsidRPr="00DF1384">
        <w:rPr>
          <w:rFonts w:ascii="Arial" w:hAnsi="Arial" w:cs="Arial"/>
        </w:rPr>
        <w:t xml:space="preserve">This paper is highly transferable because disaster recovery analysis depends on estimating expected NTL in the absence of disturbance. Adaptive forecasting is particularly useful where urban lighting patterns are culturally, economically, or seasonally specific. The limitation is attribution: an anomaly is not automatically a disaster impact. Event timing, affected-area </w:t>
      </w:r>
      <w:r w:rsidRPr="00DF1384">
        <w:rPr>
          <w:rFonts w:ascii="Arial" w:hAnsi="Arial" w:cs="Arial"/>
        </w:rPr>
        <w:lastRenderedPageBreak/>
        <w:t xml:space="preserve">definition, observation quality, settlement context, and independent validation are required. In cloud-impacted tropical settings, the method should be paired with observability diagnostics so that forecast residuals are not mistaken for disaster signal when they </w:t>
      </w:r>
      <w:proofErr w:type="gramStart"/>
      <w:r w:rsidRPr="00DF1384">
        <w:rPr>
          <w:rFonts w:ascii="Arial" w:hAnsi="Arial" w:cs="Arial"/>
        </w:rPr>
        <w:t>actually arise</w:t>
      </w:r>
      <w:proofErr w:type="gramEnd"/>
      <w:r w:rsidRPr="00DF1384">
        <w:rPr>
          <w:rFonts w:ascii="Arial" w:hAnsi="Arial" w:cs="Arial"/>
        </w:rPr>
        <w:t xml:space="preserve"> from missing or low-quality observations.</w:t>
      </w:r>
    </w:p>
    <w:p w14:paraId="51A1FBF5" w14:textId="633001B3" w:rsidR="00985108" w:rsidRDefault="009E37BA" w:rsidP="008D4334">
      <w:pPr>
        <w:spacing w:line="240" w:lineRule="auto"/>
        <w:ind w:left="720"/>
        <w:rPr>
          <w:rFonts w:ascii="Arial" w:hAnsi="Arial" w:cs="Arial"/>
          <w:color w:val="C00000"/>
        </w:rPr>
      </w:pPr>
      <w:r w:rsidRPr="00E2362E">
        <w:rPr>
          <w:rFonts w:ascii="Arial" w:hAnsi="Arial" w:cs="Arial"/>
          <w:color w:val="C00000"/>
        </w:rPr>
        <w:t xml:space="preserve">Chakraborty, S., &amp; Stokes, E. C. (2023). Adaptive modeling of satellite-derived nighttime lights time-series for tracking urban change processes using machine learning. Remote Sensing of Environment, 298, 113818. </w:t>
      </w:r>
      <w:hyperlink r:id="rId21" w:history="1">
        <w:r w:rsidR="00E2362E" w:rsidRPr="00FE5C29">
          <w:rPr>
            <w:rStyle w:val="Hyperlink"/>
            <w:rFonts w:ascii="Arial" w:hAnsi="Arial" w:cs="Arial"/>
          </w:rPr>
          <w:t>https://doi.org/10.1016/j.rse.2023.113818</w:t>
        </w:r>
      </w:hyperlink>
      <w:r w:rsidR="00E2362E">
        <w:rPr>
          <w:rFonts w:ascii="Arial" w:hAnsi="Arial" w:cs="Arial"/>
          <w:color w:val="C00000"/>
        </w:rPr>
        <w:t xml:space="preserve"> </w:t>
      </w:r>
    </w:p>
    <w:p w14:paraId="54F2349A" w14:textId="77777777" w:rsidR="002B7094" w:rsidRPr="00E2362E" w:rsidRDefault="002B7094" w:rsidP="008D4334">
      <w:pPr>
        <w:spacing w:line="240" w:lineRule="auto"/>
        <w:ind w:left="720"/>
        <w:rPr>
          <w:rFonts w:ascii="Arial" w:hAnsi="Arial" w:cs="Arial"/>
          <w:color w:val="C00000"/>
        </w:rPr>
      </w:pPr>
    </w:p>
    <w:p w14:paraId="4E4BBD5F" w14:textId="5F1DD5B8" w:rsidR="00985108" w:rsidRPr="002B7094" w:rsidRDefault="001F2503" w:rsidP="008D4334">
      <w:pPr>
        <w:pStyle w:val="Heading2"/>
        <w:spacing w:line="240" w:lineRule="auto"/>
        <w:rPr>
          <w:rFonts w:ascii="Arial" w:hAnsi="Arial" w:cs="Arial"/>
          <w:color w:val="0432FF"/>
        </w:rPr>
      </w:pPr>
      <w:r w:rsidRPr="002B7094">
        <w:rPr>
          <w:rFonts w:ascii="Arial" w:hAnsi="Arial" w:cs="Arial"/>
          <w:color w:val="0432FF"/>
        </w:rPr>
        <w:t>XV. Thomas et al. - Shining a Light on Hurricane Damage Estimation via Nighttime Light Data: Pre-processing Matters</w:t>
      </w:r>
    </w:p>
    <w:p w14:paraId="1A013370" w14:textId="77777777" w:rsidR="001F2503" w:rsidRPr="001F2503" w:rsidRDefault="001F2503" w:rsidP="008D4334">
      <w:pPr>
        <w:spacing w:line="240" w:lineRule="auto"/>
      </w:pPr>
    </w:p>
    <w:p w14:paraId="4AACB768" w14:textId="77777777" w:rsidR="00985108" w:rsidRPr="00DF1384" w:rsidRDefault="009E37BA" w:rsidP="008D4334">
      <w:pPr>
        <w:spacing w:line="240" w:lineRule="auto"/>
        <w:ind w:left="720"/>
        <w:rPr>
          <w:rFonts w:ascii="Arial" w:hAnsi="Arial" w:cs="Arial"/>
        </w:rPr>
      </w:pPr>
      <w:r w:rsidRPr="00DF1384">
        <w:rPr>
          <w:rFonts w:ascii="Arial" w:hAnsi="Arial" w:cs="Arial"/>
        </w:rPr>
        <w:t>Thomas et al. (2024) focus on an issue that is often hidden in NTL disaster studies: preprocessing materially affects the relationship between NTL and damage estimates. The paper evaluates denoising choices such as thresholding, built-area masking, quality filtering, and imputation for hurricane damage estimation. Its main contribution is methodological accountability: the apparent strength of NTL as a damage proxy depends on how the series is cleaned and summarized.</w:t>
      </w:r>
    </w:p>
    <w:p w14:paraId="2A10F816" w14:textId="77777777" w:rsidR="001F2503" w:rsidRDefault="009E37BA" w:rsidP="008D4334">
      <w:pPr>
        <w:spacing w:line="240" w:lineRule="auto"/>
        <w:ind w:left="720"/>
        <w:rPr>
          <w:rFonts w:ascii="Arial" w:hAnsi="Arial" w:cs="Arial"/>
        </w:rPr>
      </w:pPr>
      <w:r w:rsidRPr="00DF1384">
        <w:rPr>
          <w:rFonts w:ascii="Arial" w:hAnsi="Arial" w:cs="Arial"/>
        </w:rPr>
        <w:t>The transferable lesson is that preprocessing cannot be treated as a routine technical step. In disaster recovery analysis, the choice between masking, interpolation, compositing, and filtering can alter impact timing, magnitude, and recovery duration. This is especially important in tropical regions where low observability may tempt analysts to impute aggressively. The study supports sensitivity analysis across preprocessing choices and reinforces the need to report how valid observations, missingness, and imputation affect recovery metrics.</w:t>
      </w:r>
    </w:p>
    <w:p w14:paraId="5DBA6420" w14:textId="7423FE24" w:rsidR="00985108" w:rsidRDefault="009E37BA" w:rsidP="008D4334">
      <w:pPr>
        <w:spacing w:line="240" w:lineRule="auto"/>
        <w:ind w:left="720"/>
        <w:rPr>
          <w:rFonts w:ascii="Arial" w:hAnsi="Arial" w:cs="Arial"/>
          <w:color w:val="C00000"/>
        </w:rPr>
      </w:pPr>
      <w:r w:rsidRPr="001F2503">
        <w:rPr>
          <w:rFonts w:ascii="Arial" w:hAnsi="Arial" w:cs="Arial"/>
          <w:color w:val="C00000"/>
        </w:rPr>
        <w:t xml:space="preserve">Thomas, N., Rahimi, S., </w:t>
      </w:r>
      <w:proofErr w:type="spellStart"/>
      <w:r w:rsidRPr="001F2503">
        <w:rPr>
          <w:rFonts w:ascii="Arial" w:hAnsi="Arial" w:cs="Arial"/>
          <w:color w:val="C00000"/>
        </w:rPr>
        <w:t>Vapsi</w:t>
      </w:r>
      <w:proofErr w:type="spellEnd"/>
      <w:r w:rsidRPr="001F2503">
        <w:rPr>
          <w:rFonts w:ascii="Arial" w:hAnsi="Arial" w:cs="Arial"/>
          <w:color w:val="C00000"/>
        </w:rPr>
        <w:t xml:space="preserve">, A., Ansell, C., Christie, E., </w:t>
      </w:r>
      <w:proofErr w:type="spellStart"/>
      <w:r w:rsidRPr="001F2503">
        <w:rPr>
          <w:rFonts w:ascii="Arial" w:hAnsi="Arial" w:cs="Arial"/>
          <w:color w:val="C00000"/>
        </w:rPr>
        <w:t>Borrajo</w:t>
      </w:r>
      <w:proofErr w:type="spellEnd"/>
      <w:r w:rsidRPr="001F2503">
        <w:rPr>
          <w:rFonts w:ascii="Arial" w:hAnsi="Arial" w:cs="Arial"/>
          <w:color w:val="C00000"/>
        </w:rPr>
        <w:t xml:space="preserve">, D., Balch, T., &amp; Veloso, M. (2024). Shining a light on hurricane damage estimation via nighttime light data: Pre-processing matters. In IGARSS 2024 - IEEE International Geoscience and Remote Sensing Symposium (pp. 7746-7751). </w:t>
      </w:r>
      <w:hyperlink r:id="rId22" w:history="1">
        <w:r w:rsidR="001F2503" w:rsidRPr="00FE5C29">
          <w:rPr>
            <w:rStyle w:val="Hyperlink"/>
            <w:rFonts w:ascii="Arial" w:hAnsi="Arial" w:cs="Arial"/>
          </w:rPr>
          <w:t>https://doi.org/10.1109/IGARSS53475.2024.10641216</w:t>
        </w:r>
      </w:hyperlink>
      <w:r w:rsidR="001F2503">
        <w:rPr>
          <w:rFonts w:ascii="Arial" w:hAnsi="Arial" w:cs="Arial"/>
          <w:color w:val="C00000"/>
        </w:rPr>
        <w:t xml:space="preserve"> </w:t>
      </w:r>
      <w:r w:rsidR="00CE6C21">
        <w:rPr>
          <w:rFonts w:ascii="Arial" w:hAnsi="Arial" w:cs="Arial"/>
          <w:color w:val="C00000"/>
        </w:rPr>
        <w:t xml:space="preserve">    </w:t>
      </w:r>
    </w:p>
    <w:p w14:paraId="1DA3DEC9" w14:textId="77777777" w:rsidR="002B7094" w:rsidRPr="001F2503" w:rsidRDefault="002B7094" w:rsidP="008D4334">
      <w:pPr>
        <w:spacing w:line="240" w:lineRule="auto"/>
        <w:ind w:left="720"/>
        <w:rPr>
          <w:rFonts w:ascii="Arial" w:hAnsi="Arial" w:cs="Arial"/>
          <w:color w:val="C00000"/>
        </w:rPr>
      </w:pPr>
    </w:p>
    <w:p w14:paraId="52A012DD" w14:textId="2C38C4E7" w:rsidR="00985108" w:rsidRPr="002B7094" w:rsidRDefault="008D7119" w:rsidP="008D4334">
      <w:pPr>
        <w:pStyle w:val="Heading2"/>
        <w:spacing w:line="240" w:lineRule="auto"/>
        <w:rPr>
          <w:rFonts w:ascii="Arial" w:hAnsi="Arial" w:cs="Arial"/>
          <w:color w:val="0432FF"/>
        </w:rPr>
      </w:pPr>
      <w:r w:rsidRPr="002B7094">
        <w:rPr>
          <w:rFonts w:ascii="Arial" w:hAnsi="Arial" w:cs="Arial"/>
          <w:color w:val="0432FF"/>
        </w:rPr>
        <w:t>XVI. Mu et al. - Robust Disaster Impact Assessment with Synthetic Control Modeling Framework and Daily Nighttime Light Time Series Images</w:t>
      </w:r>
    </w:p>
    <w:p w14:paraId="5F6FDBAA" w14:textId="77777777" w:rsidR="008D7119" w:rsidRDefault="008D7119" w:rsidP="008D4334">
      <w:pPr>
        <w:spacing w:line="240" w:lineRule="auto"/>
        <w:ind w:left="720"/>
        <w:rPr>
          <w:rFonts w:ascii="Arial" w:hAnsi="Arial" w:cs="Arial"/>
        </w:rPr>
      </w:pPr>
    </w:p>
    <w:p w14:paraId="6200900F" w14:textId="18E68B04" w:rsidR="00985108" w:rsidRPr="00DF1384" w:rsidRDefault="009E37BA" w:rsidP="008D4334">
      <w:pPr>
        <w:spacing w:line="240" w:lineRule="auto"/>
        <w:ind w:left="720"/>
        <w:rPr>
          <w:rFonts w:ascii="Arial" w:hAnsi="Arial" w:cs="Arial"/>
        </w:rPr>
      </w:pPr>
      <w:r w:rsidRPr="00DF1384">
        <w:rPr>
          <w:rFonts w:ascii="Arial" w:hAnsi="Arial" w:cs="Arial"/>
        </w:rPr>
        <w:t>Mu et al. (2025) apply a synthetic control framework to daily Black Marble NTL for disaster impact assessment. The central contribution is counterfactual: instead of comparing observed post-disaster lights with a simple pre-event average, the study estimates business-as-usual NTL that would have occurred without the disaster. Dynamic time warping is used for donor selection, and random forest regression is used to model nonlinear target-donor relationships.</w:t>
      </w:r>
    </w:p>
    <w:p w14:paraId="32D05E44" w14:textId="77777777" w:rsidR="00E02367" w:rsidRDefault="009E37BA" w:rsidP="008D4334">
      <w:pPr>
        <w:spacing w:line="240" w:lineRule="auto"/>
        <w:ind w:left="720"/>
        <w:rPr>
          <w:rFonts w:ascii="Arial" w:hAnsi="Arial" w:cs="Arial"/>
        </w:rPr>
      </w:pPr>
      <w:r w:rsidRPr="00DF1384">
        <w:rPr>
          <w:rFonts w:ascii="Arial" w:hAnsi="Arial" w:cs="Arial"/>
        </w:rPr>
        <w:t>The method is highly relevant because it directly addresses one of the core weaknesses of earlier NTL disaster studies: poor baseline construction. However, transfer to tropical archipelagic or cloud-affected regions is not automatic. Donor regions may share cloud regimes, storm exposure, grid interdependencies, or socioeconomic shocks. If donor observability differs from target observability, the synthetic counterfactual may reflect observation mismatch rather than disaster effect. The study therefore offers a powerful modelling direction, but its tropical application requires strict donor screening, observability matching, and validation against non-NTL evidence.</w:t>
      </w:r>
    </w:p>
    <w:p w14:paraId="7D5547A9" w14:textId="0B479F0E" w:rsidR="00985108" w:rsidRDefault="009E37BA" w:rsidP="008D4334">
      <w:pPr>
        <w:spacing w:line="240" w:lineRule="auto"/>
        <w:ind w:left="720"/>
        <w:rPr>
          <w:rFonts w:ascii="Arial" w:hAnsi="Arial" w:cs="Arial"/>
          <w:color w:val="C00000"/>
        </w:rPr>
      </w:pPr>
      <w:r w:rsidRPr="00E02367">
        <w:rPr>
          <w:rFonts w:ascii="Arial" w:hAnsi="Arial" w:cs="Arial"/>
          <w:color w:val="C00000"/>
        </w:rPr>
        <w:t xml:space="preserve">Mu, T., Zheng, Q., &amp; He, S. Y. (2025). Robust disaster impact assessment with synthetic control modeling framework and daily nighttime light time series images. IEEE Transactions on Geoscience and Remote Sensing, 63, 4400712. </w:t>
      </w:r>
      <w:hyperlink r:id="rId23" w:history="1">
        <w:r w:rsidR="00E02367" w:rsidRPr="00FE5C29">
          <w:rPr>
            <w:rStyle w:val="Hyperlink"/>
            <w:rFonts w:ascii="Arial" w:hAnsi="Arial" w:cs="Arial"/>
          </w:rPr>
          <w:t>https://doi.org/10.1109/TGRS.2024.3512549</w:t>
        </w:r>
      </w:hyperlink>
      <w:r w:rsidR="00E02367">
        <w:rPr>
          <w:rFonts w:ascii="Arial" w:hAnsi="Arial" w:cs="Arial"/>
          <w:color w:val="C00000"/>
        </w:rPr>
        <w:t xml:space="preserve"> </w:t>
      </w:r>
    </w:p>
    <w:p w14:paraId="393B1CDC" w14:textId="77777777" w:rsidR="002B7094" w:rsidRPr="00E02367" w:rsidRDefault="002B7094" w:rsidP="008D4334">
      <w:pPr>
        <w:spacing w:line="240" w:lineRule="auto"/>
        <w:ind w:left="720"/>
        <w:rPr>
          <w:rFonts w:ascii="Arial" w:hAnsi="Arial" w:cs="Arial"/>
          <w:color w:val="C00000"/>
        </w:rPr>
      </w:pPr>
    </w:p>
    <w:p w14:paraId="4BAB0BF0" w14:textId="222A0602" w:rsidR="00985108" w:rsidRPr="002B7094" w:rsidRDefault="00E02367" w:rsidP="008D4334">
      <w:pPr>
        <w:pStyle w:val="Heading2"/>
        <w:spacing w:line="240" w:lineRule="auto"/>
        <w:rPr>
          <w:rFonts w:ascii="Arial" w:hAnsi="Arial" w:cs="Arial"/>
          <w:color w:val="0432FF"/>
        </w:rPr>
      </w:pPr>
      <w:r w:rsidRPr="002B7094">
        <w:rPr>
          <w:rFonts w:ascii="Arial" w:hAnsi="Arial" w:cs="Arial"/>
          <w:color w:val="0432FF"/>
        </w:rPr>
        <w:lastRenderedPageBreak/>
        <w:t>XVII. Zheng et al. - Nighttime Lights Reveal Substantial Spatial Heterogeneity and Inequality in Post-Hurricane Recovery</w:t>
      </w:r>
    </w:p>
    <w:p w14:paraId="34116656" w14:textId="77777777" w:rsidR="00E02367" w:rsidRPr="00E02367" w:rsidRDefault="00E02367" w:rsidP="008D4334">
      <w:pPr>
        <w:spacing w:line="240" w:lineRule="auto"/>
      </w:pPr>
    </w:p>
    <w:p w14:paraId="7BF5E574" w14:textId="77777777" w:rsidR="00985108" w:rsidRPr="00DF1384" w:rsidRDefault="009E37BA" w:rsidP="008D4334">
      <w:pPr>
        <w:spacing w:line="240" w:lineRule="auto"/>
        <w:ind w:left="720"/>
        <w:rPr>
          <w:rFonts w:ascii="Arial" w:hAnsi="Arial" w:cs="Arial"/>
        </w:rPr>
      </w:pPr>
      <w:r w:rsidRPr="00DF1384">
        <w:rPr>
          <w:rFonts w:ascii="Arial" w:hAnsi="Arial" w:cs="Arial"/>
        </w:rPr>
        <w:t>Zheng et al. (2025) advance NTL disaster research by examining post-hurricane recovery at fine spatial scale rather than relying only on county-level aggregates. The study uses daily Black Marble NTL, angular correction using view zenith angle, BEAST time-series decomposition, temporal clustering, socioeconomic data, and FEMA assistance records to examine spatial heterogeneity and inequality after severe U.S. hurricanes.</w:t>
      </w:r>
    </w:p>
    <w:p w14:paraId="4189398A" w14:textId="77777777" w:rsidR="00147417" w:rsidRDefault="009E37BA" w:rsidP="008D4334">
      <w:pPr>
        <w:spacing w:line="240" w:lineRule="auto"/>
        <w:ind w:left="720"/>
        <w:rPr>
          <w:rFonts w:ascii="Arial" w:hAnsi="Arial" w:cs="Arial"/>
        </w:rPr>
      </w:pPr>
      <w:r w:rsidRPr="00DF1384">
        <w:rPr>
          <w:rFonts w:ascii="Arial" w:hAnsi="Arial" w:cs="Arial"/>
        </w:rPr>
        <w:t>The paper is one of the strongest recent benchmarks because it joins three elements that are often separated: daily NTL time series, fine-scale recovery heterogeneity, and social inequality. Its methodological contribution is transferable to tropical settings, particularly the need to compare pixel-scale and aggregated recovery estimates. Its limitation is contextual: the U.S. setting offers rich census and aid data that may not be available in Southeast Asian disaster cases. For the Philippines, equivalent interpretation may require GHSL settlement masks, hazard exposure layers, and electricity-demand validation rather than U.S.-style administrative aid records.</w:t>
      </w:r>
    </w:p>
    <w:p w14:paraId="2F4D5A1A" w14:textId="07A105F4" w:rsidR="00985108" w:rsidRPr="00147417" w:rsidRDefault="009E37BA" w:rsidP="008D4334">
      <w:pPr>
        <w:spacing w:line="240" w:lineRule="auto"/>
        <w:ind w:left="720"/>
        <w:rPr>
          <w:rFonts w:ascii="Arial" w:hAnsi="Arial" w:cs="Arial"/>
          <w:color w:val="C00000"/>
        </w:rPr>
      </w:pPr>
      <w:r w:rsidRPr="00147417">
        <w:rPr>
          <w:rFonts w:ascii="Arial" w:hAnsi="Arial" w:cs="Arial"/>
          <w:color w:val="C00000"/>
        </w:rPr>
        <w:t xml:space="preserve">Zheng, Q., Zeng, Y., Zhou, Y., Wang, Z., Mu, T., &amp; Weng, Q. (2025). Nighttime lights reveal substantial spatial heterogeneity and inequality in post-hurricane recovery. Remote Sensing of Environment, 319, 114645. </w:t>
      </w:r>
      <w:hyperlink r:id="rId24" w:history="1">
        <w:r w:rsidR="00147417" w:rsidRPr="00FE5C29">
          <w:rPr>
            <w:rStyle w:val="Hyperlink"/>
            <w:rFonts w:ascii="Arial" w:hAnsi="Arial" w:cs="Arial"/>
          </w:rPr>
          <w:t>https://doi.org/10.1016/j.rse.2025.114645</w:t>
        </w:r>
      </w:hyperlink>
      <w:r w:rsidR="00147417">
        <w:rPr>
          <w:rFonts w:ascii="Arial" w:hAnsi="Arial" w:cs="Arial"/>
          <w:color w:val="C00000"/>
        </w:rPr>
        <w:t xml:space="preserve"> </w:t>
      </w:r>
      <w:r w:rsidR="00147417" w:rsidRPr="00147417">
        <w:rPr>
          <w:rFonts w:ascii="Arial" w:hAnsi="Arial" w:cs="Arial"/>
          <w:color w:val="C00000"/>
        </w:rPr>
        <w:t xml:space="preserve"> </w:t>
      </w:r>
    </w:p>
    <w:p w14:paraId="45865DBA" w14:textId="6CA91B70" w:rsidR="00985108" w:rsidRPr="002B7094" w:rsidRDefault="00147417" w:rsidP="008D4334">
      <w:pPr>
        <w:pStyle w:val="Heading2"/>
        <w:spacing w:line="240" w:lineRule="auto"/>
        <w:rPr>
          <w:rFonts w:ascii="Arial" w:hAnsi="Arial" w:cs="Arial"/>
          <w:color w:val="0432FF"/>
        </w:rPr>
      </w:pPr>
      <w:r w:rsidRPr="002B7094">
        <w:rPr>
          <w:rFonts w:ascii="Arial" w:hAnsi="Arial" w:cs="Arial"/>
          <w:color w:val="0432FF"/>
        </w:rPr>
        <w:t>XVIII. Pei et al. - A High-Quality Daily Nighttime Light Dataset for Global 600+ Cities</w:t>
      </w:r>
    </w:p>
    <w:p w14:paraId="2B94838C" w14:textId="77777777" w:rsidR="00147417" w:rsidRPr="00147417" w:rsidRDefault="00147417" w:rsidP="008D4334">
      <w:pPr>
        <w:spacing w:line="240" w:lineRule="auto"/>
      </w:pPr>
    </w:p>
    <w:p w14:paraId="4EC690F2" w14:textId="77777777" w:rsidR="00985108" w:rsidRPr="00DF1384" w:rsidRDefault="009E37BA" w:rsidP="008D4334">
      <w:pPr>
        <w:spacing w:line="240" w:lineRule="auto"/>
        <w:ind w:left="720"/>
        <w:rPr>
          <w:rFonts w:ascii="Arial" w:hAnsi="Arial" w:cs="Arial"/>
        </w:rPr>
      </w:pPr>
      <w:r w:rsidRPr="00DF1384">
        <w:rPr>
          <w:rFonts w:ascii="Arial" w:hAnsi="Arial" w:cs="Arial"/>
        </w:rPr>
        <w:t>Pei et al. (2025) develop a high-quality daily NTL dataset for more than 600 global cities from 2012 to 2024. The framework addresses spatial mismatch, angular effects, and data holes in VNP46A2, using VNP46A1 sensor zenith information and quality screening. The paper is important because it reflects a broader shift in the field: daily NTL is useful only when instability sources are explicitly corrected or documented.</w:t>
      </w:r>
    </w:p>
    <w:p w14:paraId="15842A3F" w14:textId="77777777" w:rsidR="00147417" w:rsidRDefault="009E37BA" w:rsidP="008D4334">
      <w:pPr>
        <w:spacing w:line="240" w:lineRule="auto"/>
        <w:ind w:left="720"/>
        <w:rPr>
          <w:rFonts w:ascii="Arial" w:hAnsi="Arial" w:cs="Arial"/>
        </w:rPr>
      </w:pPr>
      <w:r w:rsidRPr="00DF1384">
        <w:rPr>
          <w:rFonts w:ascii="Arial" w:hAnsi="Arial" w:cs="Arial"/>
        </w:rPr>
        <w:t>The dataset and framework are directly relevant to disaster recovery studies because event-scale interpretation requires temporal comparability across days. However, the approach also raises an important caution. Interpolation and correction can improve continuity, but in disaster studies missingness itself may carry interpretive value about observability. For cloud-impacted tropical applications, HDNTL-style products can serve as benchmarks or diagnostic comparisons, but direct recovery claims should preserve information on which observations were observed, corrected, or interpolated.</w:t>
      </w:r>
    </w:p>
    <w:p w14:paraId="28ABB51B" w14:textId="159863C8" w:rsidR="00985108" w:rsidRDefault="009E37BA" w:rsidP="008D4334">
      <w:pPr>
        <w:spacing w:line="240" w:lineRule="auto"/>
        <w:ind w:left="720"/>
        <w:rPr>
          <w:rFonts w:ascii="Arial" w:hAnsi="Arial" w:cs="Arial"/>
          <w:color w:val="C00000"/>
        </w:rPr>
      </w:pPr>
      <w:r w:rsidRPr="00147417">
        <w:rPr>
          <w:rFonts w:ascii="Arial" w:hAnsi="Arial" w:cs="Arial"/>
          <w:color w:val="C00000"/>
        </w:rPr>
        <w:t xml:space="preserve">Pei, Z., Zhu, X., Hu, Y., Chen, J., &amp; Tan, X. (2025). A high-quality daily nighttime light (HDNTL) dataset for global 600+ cities (2012-2024). Earth System Science Data, 17, 5675-5691. </w:t>
      </w:r>
      <w:hyperlink r:id="rId25" w:history="1">
        <w:r w:rsidR="00147417" w:rsidRPr="00FE5C29">
          <w:rPr>
            <w:rStyle w:val="Hyperlink"/>
            <w:rFonts w:ascii="Arial" w:hAnsi="Arial" w:cs="Arial"/>
          </w:rPr>
          <w:t>https://doi.org/10.5194/essd-17-5675-2025</w:t>
        </w:r>
      </w:hyperlink>
      <w:r w:rsidR="00147417">
        <w:rPr>
          <w:rFonts w:ascii="Arial" w:hAnsi="Arial" w:cs="Arial"/>
          <w:color w:val="C00000"/>
        </w:rPr>
        <w:t xml:space="preserve"> </w:t>
      </w:r>
    </w:p>
    <w:p w14:paraId="20587050" w14:textId="77777777" w:rsidR="002B7094" w:rsidRDefault="002B7094" w:rsidP="008D4334">
      <w:pPr>
        <w:spacing w:line="240" w:lineRule="auto"/>
        <w:ind w:left="720"/>
        <w:rPr>
          <w:rFonts w:ascii="Arial" w:hAnsi="Arial" w:cs="Arial"/>
          <w:color w:val="C00000"/>
        </w:rPr>
      </w:pPr>
    </w:p>
    <w:p w14:paraId="627824D5" w14:textId="77777777" w:rsidR="002B7094" w:rsidRDefault="002B7094" w:rsidP="008D4334">
      <w:pPr>
        <w:spacing w:line="240" w:lineRule="auto"/>
        <w:ind w:left="720"/>
        <w:rPr>
          <w:rFonts w:ascii="Arial" w:hAnsi="Arial" w:cs="Arial"/>
          <w:color w:val="C00000"/>
        </w:rPr>
      </w:pPr>
    </w:p>
    <w:p w14:paraId="7E84CAC1" w14:textId="77777777" w:rsidR="002B7094" w:rsidRPr="00147417" w:rsidRDefault="002B7094" w:rsidP="008D4334">
      <w:pPr>
        <w:spacing w:line="240" w:lineRule="auto"/>
        <w:ind w:left="720"/>
        <w:rPr>
          <w:rFonts w:ascii="Arial" w:hAnsi="Arial" w:cs="Arial"/>
          <w:color w:val="C00000"/>
        </w:rPr>
      </w:pPr>
    </w:p>
    <w:p w14:paraId="5E4F96FC" w14:textId="168DBCAA" w:rsidR="00985108" w:rsidRPr="002B7094" w:rsidRDefault="00AD459F" w:rsidP="008D4334">
      <w:pPr>
        <w:pStyle w:val="Heading2"/>
        <w:spacing w:line="240" w:lineRule="auto"/>
        <w:rPr>
          <w:rFonts w:ascii="Arial" w:hAnsi="Arial" w:cs="Arial"/>
          <w:color w:val="0432FF"/>
        </w:rPr>
      </w:pPr>
      <w:r w:rsidRPr="002B7094">
        <w:rPr>
          <w:rFonts w:ascii="Arial" w:hAnsi="Arial" w:cs="Arial"/>
          <w:color w:val="0432FF"/>
        </w:rPr>
        <w:t>XIX. Levin - Challenges in Remote Sensing of Night Lights: A Research Agenda for the Next Decade</w:t>
      </w:r>
    </w:p>
    <w:p w14:paraId="413DB2E1" w14:textId="77777777" w:rsidR="00AD459F" w:rsidRDefault="00AD459F" w:rsidP="008D4334">
      <w:pPr>
        <w:spacing w:line="240" w:lineRule="auto"/>
        <w:rPr>
          <w:rFonts w:ascii="Arial" w:hAnsi="Arial" w:cs="Arial"/>
        </w:rPr>
      </w:pPr>
    </w:p>
    <w:p w14:paraId="2E603B02" w14:textId="568B836C" w:rsidR="00985108" w:rsidRPr="00DF1384" w:rsidRDefault="009E37BA" w:rsidP="008D4334">
      <w:pPr>
        <w:spacing w:line="240" w:lineRule="auto"/>
        <w:ind w:left="720"/>
        <w:rPr>
          <w:rFonts w:ascii="Arial" w:hAnsi="Arial" w:cs="Arial"/>
        </w:rPr>
      </w:pPr>
      <w:r w:rsidRPr="00DF1384">
        <w:rPr>
          <w:rFonts w:ascii="Arial" w:hAnsi="Arial" w:cs="Arial"/>
        </w:rPr>
        <w:t>Levin (2025) synthesizes the major technical challenges facing nighttime-light remote sensing: cloud masks, hourly variation, overpass timing, sensor fusion, blue-light emissions, and anisotropy. The paper is especially important because it shifts discussion from applications to measurement validity. Nighttime lights are not a simple brightness variable; they are shaped by when, where, how, and from what angle the nightscape is observed.</w:t>
      </w:r>
    </w:p>
    <w:p w14:paraId="62104827" w14:textId="77777777" w:rsidR="002A7516" w:rsidRDefault="009E37BA" w:rsidP="008D4334">
      <w:pPr>
        <w:spacing w:line="240" w:lineRule="auto"/>
        <w:ind w:left="720"/>
        <w:rPr>
          <w:rFonts w:ascii="Arial" w:hAnsi="Arial" w:cs="Arial"/>
        </w:rPr>
      </w:pPr>
      <w:r w:rsidRPr="00DF1384">
        <w:rPr>
          <w:rFonts w:ascii="Arial" w:hAnsi="Arial" w:cs="Arial"/>
        </w:rPr>
        <w:t xml:space="preserve">For disaster research, the most relevant points are cloud masking, overpass timing, blue-light sensitivity, and anisotropy. Clouds can obscure or scatter light; different overpass times capture </w:t>
      </w:r>
      <w:r w:rsidRPr="00DF1384">
        <w:rPr>
          <w:rFonts w:ascii="Arial" w:hAnsi="Arial" w:cs="Arial"/>
        </w:rPr>
        <w:lastRenderedPageBreak/>
        <w:t>different human activity states; VIIRS does not fully sense shorter-wavelength blue emissions; and angular emission patterns vary by land use and lighting geometry. These issues are not marginal in cloud-impacted tropical regions. They are central to determining whether NTL can be interpreted at all. Levin therefore provides strong methodological support for making observability the first stage of analysis.</w:t>
      </w:r>
    </w:p>
    <w:p w14:paraId="4672DA2D" w14:textId="17B98286" w:rsidR="002B7094" w:rsidRDefault="009E37BA" w:rsidP="008D4334">
      <w:pPr>
        <w:spacing w:line="240" w:lineRule="auto"/>
        <w:ind w:left="720"/>
        <w:rPr>
          <w:rFonts w:ascii="Arial" w:hAnsi="Arial" w:cs="Arial"/>
          <w:color w:val="C00000"/>
        </w:rPr>
      </w:pPr>
      <w:r w:rsidRPr="002A7516">
        <w:rPr>
          <w:rFonts w:ascii="Arial" w:hAnsi="Arial" w:cs="Arial"/>
          <w:color w:val="C00000"/>
        </w:rPr>
        <w:t xml:space="preserve">Levin, N. (2025). Challenges in remote sensing of night lights - A research agenda for the next decade. Remote Sensing of Environment, 328, 114869. </w:t>
      </w:r>
      <w:hyperlink r:id="rId26" w:history="1">
        <w:r w:rsidR="002A7516" w:rsidRPr="00FE5C29">
          <w:rPr>
            <w:rStyle w:val="Hyperlink"/>
            <w:rFonts w:ascii="Arial" w:hAnsi="Arial" w:cs="Arial"/>
          </w:rPr>
          <w:t>https://doi.org/10.1016/j.rse.2025.114869</w:t>
        </w:r>
      </w:hyperlink>
      <w:r w:rsidR="002A7516">
        <w:rPr>
          <w:rFonts w:ascii="Arial" w:hAnsi="Arial" w:cs="Arial"/>
          <w:color w:val="C00000"/>
        </w:rPr>
        <w:t xml:space="preserve"> </w:t>
      </w:r>
    </w:p>
    <w:p w14:paraId="688E7BB7" w14:textId="77777777" w:rsidR="00810462" w:rsidRPr="00810462" w:rsidRDefault="00810462" w:rsidP="008D4334">
      <w:pPr>
        <w:spacing w:line="240" w:lineRule="auto"/>
        <w:ind w:left="720"/>
        <w:rPr>
          <w:rFonts w:ascii="Arial" w:hAnsi="Arial" w:cs="Arial"/>
          <w:color w:val="C00000"/>
        </w:rPr>
      </w:pPr>
    </w:p>
    <w:p w14:paraId="79D85219" w14:textId="476345A0" w:rsidR="00985108" w:rsidRPr="002B7094" w:rsidRDefault="002A7516" w:rsidP="008D4334">
      <w:pPr>
        <w:pStyle w:val="Heading2"/>
        <w:spacing w:line="240" w:lineRule="auto"/>
        <w:rPr>
          <w:rFonts w:ascii="Arial" w:hAnsi="Arial" w:cs="Arial"/>
          <w:color w:val="0432FF"/>
        </w:rPr>
      </w:pPr>
      <w:r w:rsidRPr="002B7094">
        <w:rPr>
          <w:rFonts w:ascii="Arial" w:hAnsi="Arial" w:cs="Arial"/>
          <w:color w:val="0432FF"/>
        </w:rPr>
        <w:t xml:space="preserve">XX. Tong - Land Use and Anisotropy of Artificial Light Observed by </w:t>
      </w:r>
      <w:proofErr w:type="gramStart"/>
      <w:r w:rsidRPr="002B7094">
        <w:rPr>
          <w:rFonts w:ascii="Arial" w:hAnsi="Arial" w:cs="Arial"/>
          <w:color w:val="0432FF"/>
        </w:rPr>
        <w:t>Night Time</w:t>
      </w:r>
      <w:proofErr w:type="gramEnd"/>
      <w:r w:rsidRPr="002B7094">
        <w:rPr>
          <w:rFonts w:ascii="Arial" w:hAnsi="Arial" w:cs="Arial"/>
          <w:color w:val="0432FF"/>
        </w:rPr>
        <w:t xml:space="preserve"> Satellite</w:t>
      </w:r>
    </w:p>
    <w:p w14:paraId="7C1743AA" w14:textId="77777777" w:rsidR="002A7516" w:rsidRPr="002A7516" w:rsidRDefault="002A7516" w:rsidP="008D4334">
      <w:pPr>
        <w:spacing w:line="240" w:lineRule="auto"/>
      </w:pPr>
    </w:p>
    <w:p w14:paraId="7AD2853C" w14:textId="77777777" w:rsidR="00985108" w:rsidRPr="00DF1384" w:rsidRDefault="009E37BA" w:rsidP="008D4334">
      <w:pPr>
        <w:spacing w:line="240" w:lineRule="auto"/>
        <w:ind w:left="720"/>
        <w:rPr>
          <w:rFonts w:ascii="Arial" w:hAnsi="Arial" w:cs="Arial"/>
        </w:rPr>
      </w:pPr>
      <w:r w:rsidRPr="00DF1384">
        <w:rPr>
          <w:rFonts w:ascii="Arial" w:hAnsi="Arial" w:cs="Arial"/>
        </w:rPr>
        <w:t>Tong (2025) examines how land use affects the anisotropy of artificial light observed by nighttime satellite. The study uses multi-angle VIIRS-DNB observations and land-use information to show that radiance varies systematically with viewing angle and land-use class. This is important because directional emission and obstruction by buildings, trees, and fixture geometry can cause the same location to appear brighter or dimmer under different VZA conditions.</w:t>
      </w:r>
    </w:p>
    <w:p w14:paraId="0EAFC4A4" w14:textId="77777777" w:rsidR="00E7674C" w:rsidRDefault="009E37BA" w:rsidP="008D4334">
      <w:pPr>
        <w:spacing w:line="240" w:lineRule="auto"/>
        <w:ind w:left="720"/>
        <w:rPr>
          <w:rFonts w:ascii="Arial" w:hAnsi="Arial" w:cs="Arial"/>
        </w:rPr>
      </w:pPr>
      <w:r w:rsidRPr="00DF1384">
        <w:rPr>
          <w:rFonts w:ascii="Arial" w:hAnsi="Arial" w:cs="Arial"/>
        </w:rPr>
        <w:t xml:space="preserve">The transfer value for disaster research is substantial. If post-disaster observations are drawn from different view-angle distributions than pre-disaster observations, apparent shock or recovery can partly reflect geometry rather than real functional change. The paper also strengthens the case for settlement stratification because angular behavior is tied to </w:t>
      </w:r>
      <w:proofErr w:type="spellStart"/>
      <w:r w:rsidRPr="00DF1384">
        <w:rPr>
          <w:rFonts w:ascii="Arial" w:hAnsi="Arial" w:cs="Arial"/>
        </w:rPr>
        <w:t>built</w:t>
      </w:r>
      <w:proofErr w:type="spellEnd"/>
      <w:r w:rsidRPr="00DF1384">
        <w:rPr>
          <w:rFonts w:ascii="Arial" w:hAnsi="Arial" w:cs="Arial"/>
        </w:rPr>
        <w:t xml:space="preserve"> form and land use. In a tropical NTL recovery study, VZA diagnostics and morphology-aware interpretation should therefore be considered part of the core reliability assessment.</w:t>
      </w:r>
    </w:p>
    <w:p w14:paraId="69A8F381" w14:textId="6C5A3F7E" w:rsidR="00DA1E2D" w:rsidRDefault="009E37BA" w:rsidP="008D4334">
      <w:pPr>
        <w:spacing w:line="240" w:lineRule="auto"/>
        <w:ind w:left="720"/>
        <w:rPr>
          <w:rFonts w:ascii="Arial" w:hAnsi="Arial" w:cs="Arial"/>
        </w:rPr>
      </w:pPr>
      <w:r w:rsidRPr="00DF1384">
        <w:rPr>
          <w:rFonts w:ascii="Arial" w:hAnsi="Arial" w:cs="Arial"/>
        </w:rPr>
        <w:t xml:space="preserve">Tong, K. P. (2025). Land use and anisotropy of artificial light observed by </w:t>
      </w:r>
      <w:proofErr w:type="gramStart"/>
      <w:r w:rsidRPr="00DF1384">
        <w:rPr>
          <w:rFonts w:ascii="Arial" w:hAnsi="Arial" w:cs="Arial"/>
        </w:rPr>
        <w:t>night time</w:t>
      </w:r>
      <w:proofErr w:type="gramEnd"/>
      <w:r w:rsidRPr="00DF1384">
        <w:rPr>
          <w:rFonts w:ascii="Arial" w:hAnsi="Arial" w:cs="Arial"/>
        </w:rPr>
        <w:t xml:space="preserve"> satellite. </w:t>
      </w:r>
      <w:proofErr w:type="spellStart"/>
      <w:r w:rsidRPr="00DF1384">
        <w:rPr>
          <w:rFonts w:ascii="Arial" w:hAnsi="Arial" w:cs="Arial"/>
        </w:rPr>
        <w:t>arXiv</w:t>
      </w:r>
      <w:proofErr w:type="spellEnd"/>
      <w:r w:rsidRPr="00DF1384">
        <w:rPr>
          <w:rFonts w:ascii="Arial" w:hAnsi="Arial" w:cs="Arial"/>
        </w:rPr>
        <w:t xml:space="preserve">. </w:t>
      </w:r>
      <w:hyperlink r:id="rId27" w:history="1">
        <w:r w:rsidR="00E7674C" w:rsidRPr="00FE5C29">
          <w:rPr>
            <w:rStyle w:val="Hyperlink"/>
            <w:rFonts w:ascii="Arial" w:hAnsi="Arial" w:cs="Arial"/>
          </w:rPr>
          <w:t>https://doi.org/10.48550/arXiv.2510.05105</w:t>
        </w:r>
      </w:hyperlink>
      <w:r w:rsidR="00E7674C">
        <w:rPr>
          <w:rFonts w:ascii="Arial" w:hAnsi="Arial" w:cs="Arial"/>
        </w:rPr>
        <w:t xml:space="preserve"> </w:t>
      </w:r>
    </w:p>
    <w:p w14:paraId="064C9D18" w14:textId="77777777" w:rsidR="00810462" w:rsidRPr="00810462" w:rsidRDefault="00810462" w:rsidP="008D4334">
      <w:pPr>
        <w:spacing w:line="240" w:lineRule="auto"/>
        <w:ind w:left="720"/>
        <w:rPr>
          <w:rFonts w:ascii="Arial" w:hAnsi="Arial" w:cs="Arial"/>
        </w:rPr>
      </w:pPr>
    </w:p>
    <w:p w14:paraId="06E650EB" w14:textId="101AA7ED" w:rsidR="00985108" w:rsidRPr="002B7094" w:rsidRDefault="00E7674C" w:rsidP="008D4334">
      <w:pPr>
        <w:pStyle w:val="Heading2"/>
        <w:spacing w:line="240" w:lineRule="auto"/>
        <w:rPr>
          <w:rFonts w:ascii="Arial" w:hAnsi="Arial" w:cs="Arial"/>
          <w:color w:val="0432FF"/>
        </w:rPr>
      </w:pPr>
      <w:r w:rsidRPr="002B7094">
        <w:rPr>
          <w:rFonts w:ascii="Arial" w:hAnsi="Arial" w:cs="Arial"/>
          <w:color w:val="0432FF"/>
        </w:rPr>
        <w:t>XXI. Friedrich et al. - Satellite Earth Observation for Recovery from Hydrometeorological Hazards</w:t>
      </w:r>
    </w:p>
    <w:p w14:paraId="47F06959" w14:textId="77777777" w:rsidR="00E7674C" w:rsidRPr="00E7674C" w:rsidRDefault="00E7674C" w:rsidP="008D4334">
      <w:pPr>
        <w:spacing w:line="240" w:lineRule="auto"/>
      </w:pPr>
    </w:p>
    <w:p w14:paraId="4CBAEE55" w14:textId="77777777" w:rsidR="00985108" w:rsidRPr="00DF1384" w:rsidRDefault="009E37BA" w:rsidP="008D4334">
      <w:pPr>
        <w:spacing w:line="240" w:lineRule="auto"/>
        <w:ind w:left="720"/>
        <w:rPr>
          <w:rFonts w:ascii="Arial" w:hAnsi="Arial" w:cs="Arial"/>
        </w:rPr>
      </w:pPr>
      <w:r w:rsidRPr="00DF1384">
        <w:rPr>
          <w:rFonts w:ascii="Arial" w:hAnsi="Arial" w:cs="Arial"/>
        </w:rPr>
        <w:t>Friedrich et al. (2026) review satellite earth observation for recovery from hydrometeorological hazards and provide a strong conceptual bridge between physical remote sensing and contextual recovery interpretation. The review distinguishes physical, qualitative, functional, resilience-relative, and risk-relative recovery. This is important because it prevents overextension of EO proxies beyond what they can support.</w:t>
      </w:r>
    </w:p>
    <w:p w14:paraId="47BFEC69" w14:textId="77777777" w:rsidR="001B663F" w:rsidRDefault="009E37BA" w:rsidP="008D4334">
      <w:pPr>
        <w:spacing w:line="240" w:lineRule="auto"/>
        <w:ind w:left="720"/>
        <w:rPr>
          <w:rFonts w:ascii="Arial" w:hAnsi="Arial" w:cs="Arial"/>
        </w:rPr>
      </w:pPr>
      <w:r w:rsidRPr="00DF1384">
        <w:rPr>
          <w:rFonts w:ascii="Arial" w:hAnsi="Arial" w:cs="Arial"/>
        </w:rPr>
        <w:t>The paper positions NTL as a high-frequency proxy for electricity outage and restoration, while also emphasizing that EO-derived physical or functional signals need non-EO data for context and validation. This is directly aligned with the need to use NGCP or related electricity data when interpreting NTL as power-related recovery. The limitation is that the review is broad and does not solve the specific technical problem of low observability under persistent tropical cloud cover. That problem remains a methodological gap for daily NTL disaster applications.</w:t>
      </w:r>
    </w:p>
    <w:p w14:paraId="66277836" w14:textId="279B5A14" w:rsidR="002B7094" w:rsidRDefault="009E37BA" w:rsidP="008D4334">
      <w:pPr>
        <w:spacing w:line="240" w:lineRule="auto"/>
        <w:ind w:left="720"/>
        <w:rPr>
          <w:rFonts w:ascii="Arial" w:hAnsi="Arial" w:cs="Arial"/>
          <w:color w:val="C00000"/>
        </w:rPr>
      </w:pPr>
      <w:r w:rsidRPr="001B663F">
        <w:rPr>
          <w:rFonts w:ascii="Arial" w:hAnsi="Arial" w:cs="Arial"/>
          <w:color w:val="C00000"/>
        </w:rPr>
        <w:t xml:space="preserve">Friedrich, H. K., Aggarwal, E., Buijs, S. L., Chakraborty, S., Hall, C. A., Hu, Y., &amp; Tellman, B. (2026). Satellite earth observation for recovery from hydrometeorological hazards. Water Security, 28, 100205. </w:t>
      </w:r>
      <w:hyperlink r:id="rId28" w:history="1">
        <w:r w:rsidR="001B663F" w:rsidRPr="00FE5C29">
          <w:rPr>
            <w:rStyle w:val="Hyperlink"/>
            <w:rFonts w:ascii="Arial" w:hAnsi="Arial" w:cs="Arial"/>
          </w:rPr>
          <w:t>https://doi.org/10.1016/j.wasec.2026.100205</w:t>
        </w:r>
      </w:hyperlink>
      <w:r w:rsidR="001B663F">
        <w:rPr>
          <w:rFonts w:ascii="Arial" w:hAnsi="Arial" w:cs="Arial"/>
          <w:color w:val="C00000"/>
        </w:rPr>
        <w:t xml:space="preserve"> </w:t>
      </w:r>
    </w:p>
    <w:p w14:paraId="38C80FC0" w14:textId="77777777" w:rsidR="00810462" w:rsidRPr="00810462" w:rsidRDefault="00810462" w:rsidP="008D4334">
      <w:pPr>
        <w:spacing w:line="240" w:lineRule="auto"/>
        <w:ind w:left="720"/>
        <w:rPr>
          <w:rFonts w:ascii="Arial" w:hAnsi="Arial" w:cs="Arial"/>
          <w:color w:val="C00000"/>
        </w:rPr>
      </w:pPr>
    </w:p>
    <w:p w14:paraId="2FE057FA" w14:textId="025D9990" w:rsidR="00985108" w:rsidRPr="002B7094" w:rsidRDefault="001B663F" w:rsidP="008D4334">
      <w:pPr>
        <w:pStyle w:val="Heading2"/>
        <w:spacing w:line="240" w:lineRule="auto"/>
        <w:rPr>
          <w:rFonts w:ascii="Arial" w:hAnsi="Arial" w:cs="Arial"/>
          <w:color w:val="0432FF"/>
        </w:rPr>
      </w:pPr>
      <w:r w:rsidRPr="002B7094">
        <w:rPr>
          <w:rFonts w:ascii="Arial" w:hAnsi="Arial" w:cs="Arial"/>
          <w:color w:val="0432FF"/>
        </w:rPr>
        <w:t xml:space="preserve">XXII. Lauer et al. - From Danger to Death Zones: Living with the Floods in the Resettlement Site of </w:t>
      </w:r>
      <w:proofErr w:type="spellStart"/>
      <w:r w:rsidRPr="002B7094">
        <w:rPr>
          <w:rFonts w:ascii="Arial" w:hAnsi="Arial" w:cs="Arial"/>
          <w:color w:val="0432FF"/>
        </w:rPr>
        <w:t>Kasiglahan</w:t>
      </w:r>
      <w:proofErr w:type="spellEnd"/>
      <w:r w:rsidRPr="002B7094">
        <w:rPr>
          <w:rFonts w:ascii="Arial" w:hAnsi="Arial" w:cs="Arial"/>
          <w:color w:val="0432FF"/>
        </w:rPr>
        <w:t xml:space="preserve"> Village in the Philippines</w:t>
      </w:r>
    </w:p>
    <w:p w14:paraId="1E377CB0" w14:textId="77777777" w:rsidR="001B663F" w:rsidRPr="001B663F" w:rsidRDefault="001B663F" w:rsidP="008D4334">
      <w:pPr>
        <w:spacing w:line="240" w:lineRule="auto"/>
      </w:pPr>
    </w:p>
    <w:p w14:paraId="4C9BEA3C" w14:textId="77777777" w:rsidR="00985108" w:rsidRPr="00DF1384" w:rsidRDefault="009E37BA" w:rsidP="008D4334">
      <w:pPr>
        <w:spacing w:line="240" w:lineRule="auto"/>
        <w:ind w:left="720"/>
        <w:rPr>
          <w:rFonts w:ascii="Arial" w:hAnsi="Arial" w:cs="Arial"/>
        </w:rPr>
      </w:pPr>
      <w:r w:rsidRPr="00DF1384">
        <w:rPr>
          <w:rFonts w:ascii="Arial" w:hAnsi="Arial" w:cs="Arial"/>
        </w:rPr>
        <w:t xml:space="preserve">Lauer et al. (2026) provide a social and planning counterpoint to satellite-based recovery assessment. The study examines </w:t>
      </w:r>
      <w:proofErr w:type="spellStart"/>
      <w:r w:rsidRPr="00DF1384">
        <w:rPr>
          <w:rFonts w:ascii="Arial" w:hAnsi="Arial" w:cs="Arial"/>
        </w:rPr>
        <w:t>Kasiglahan</w:t>
      </w:r>
      <w:proofErr w:type="spellEnd"/>
      <w:r w:rsidRPr="00DF1384">
        <w:rPr>
          <w:rFonts w:ascii="Arial" w:hAnsi="Arial" w:cs="Arial"/>
        </w:rPr>
        <w:t xml:space="preserve"> Village, a resettlement site in the Philippines that continues to experience severe flooding despite relocation from danger areas. Using flood </w:t>
      </w:r>
      <w:r w:rsidRPr="00DF1384">
        <w:rPr>
          <w:rFonts w:ascii="Arial" w:hAnsi="Arial" w:cs="Arial"/>
        </w:rPr>
        <w:lastRenderedPageBreak/>
        <w:t>modelling, surveys, focus groups, and participatory design, the paper argues that resettlement should be understood as a long-term adaptive land-use process rather than a one-off recovery solution.</w:t>
      </w:r>
    </w:p>
    <w:p w14:paraId="030081AA" w14:textId="77777777" w:rsidR="001B663F" w:rsidRDefault="009E37BA" w:rsidP="008D4334">
      <w:pPr>
        <w:spacing w:line="240" w:lineRule="auto"/>
        <w:ind w:left="720"/>
        <w:rPr>
          <w:rFonts w:ascii="Arial" w:hAnsi="Arial" w:cs="Arial"/>
        </w:rPr>
      </w:pPr>
      <w:r w:rsidRPr="00DF1384">
        <w:rPr>
          <w:rFonts w:ascii="Arial" w:hAnsi="Arial" w:cs="Arial"/>
        </w:rPr>
        <w:t>The relevance to NTL is interpretive. A settlement may be lit and active at night while remaining exposed, vulnerable, or maladapted. Nighttime lights may show occupancy, activity, or electrification, but they cannot establish safety, tenure security, livelihood resilience, or risk reduction. This study therefore helps define the boundary of NTL-based claims. It supports using settlement context and hazard exposure as interpretive layers, especially in the Philippines, where functional activity and risk reduction may diverge.</w:t>
      </w:r>
    </w:p>
    <w:p w14:paraId="0A197DA5" w14:textId="1671D02C" w:rsidR="00985108" w:rsidRDefault="009E37BA" w:rsidP="008D4334">
      <w:pPr>
        <w:spacing w:line="240" w:lineRule="auto"/>
        <w:ind w:left="720"/>
        <w:rPr>
          <w:rFonts w:ascii="Arial" w:hAnsi="Arial" w:cs="Arial"/>
          <w:color w:val="C00000"/>
        </w:rPr>
      </w:pPr>
      <w:r w:rsidRPr="001B663F">
        <w:rPr>
          <w:rFonts w:ascii="Arial" w:hAnsi="Arial" w:cs="Arial"/>
          <w:color w:val="C00000"/>
        </w:rPr>
        <w:t xml:space="preserve">Lauer, H., Scholz, W., Islam, S., Kaiser, M., &amp; Eugenio, V. F. (2026). From danger to death zones: Living with the floods in the resettlement site of </w:t>
      </w:r>
      <w:proofErr w:type="spellStart"/>
      <w:r w:rsidRPr="001B663F">
        <w:rPr>
          <w:rFonts w:ascii="Arial" w:hAnsi="Arial" w:cs="Arial"/>
          <w:color w:val="C00000"/>
        </w:rPr>
        <w:t>Kasiglahan</w:t>
      </w:r>
      <w:proofErr w:type="spellEnd"/>
      <w:r w:rsidRPr="001B663F">
        <w:rPr>
          <w:rFonts w:ascii="Arial" w:hAnsi="Arial" w:cs="Arial"/>
          <w:color w:val="C00000"/>
        </w:rPr>
        <w:t xml:space="preserve"> Village in the Philippines. Progress in Disaster Science, 30, 100552. </w:t>
      </w:r>
      <w:hyperlink r:id="rId29" w:history="1">
        <w:r w:rsidR="00E138A3" w:rsidRPr="00FE5C29">
          <w:rPr>
            <w:rStyle w:val="Hyperlink"/>
            <w:rFonts w:ascii="Arial" w:hAnsi="Arial" w:cs="Arial"/>
          </w:rPr>
          <w:t>https://doi.org/10.1016/j.pdisas.2026.100552</w:t>
        </w:r>
      </w:hyperlink>
      <w:r w:rsidR="00E138A3">
        <w:rPr>
          <w:rFonts w:ascii="Arial" w:hAnsi="Arial" w:cs="Arial"/>
          <w:color w:val="C00000"/>
        </w:rPr>
        <w:t xml:space="preserve"> </w:t>
      </w:r>
    </w:p>
    <w:p w14:paraId="73BAFE1F" w14:textId="77777777" w:rsidR="002B7094" w:rsidRPr="001B663F" w:rsidRDefault="002B7094" w:rsidP="008D4334">
      <w:pPr>
        <w:spacing w:line="240" w:lineRule="auto"/>
        <w:ind w:left="720"/>
        <w:rPr>
          <w:rFonts w:ascii="Arial" w:hAnsi="Arial" w:cs="Arial"/>
          <w:color w:val="C00000"/>
        </w:rPr>
      </w:pPr>
    </w:p>
    <w:p w14:paraId="0EF5EA0D" w14:textId="78BFEF9E" w:rsidR="00985108" w:rsidRPr="002B7094" w:rsidRDefault="00E138A3" w:rsidP="008D4334">
      <w:pPr>
        <w:pStyle w:val="Heading2"/>
        <w:spacing w:line="240" w:lineRule="auto"/>
        <w:rPr>
          <w:rFonts w:ascii="Arial" w:hAnsi="Arial" w:cs="Arial"/>
          <w:color w:val="0432FF"/>
        </w:rPr>
      </w:pPr>
      <w:r w:rsidRPr="002B7094">
        <w:rPr>
          <w:rFonts w:ascii="Arial" w:hAnsi="Arial" w:cs="Arial"/>
          <w:color w:val="0432FF"/>
        </w:rPr>
        <w:t>XXIII. Ramel et al. - Illuminating the Land: The Effects of Nighttime Lights on Land Values in the Philippines</w:t>
      </w:r>
    </w:p>
    <w:p w14:paraId="38CF4DC9" w14:textId="77777777" w:rsidR="00E138A3" w:rsidRPr="00E138A3" w:rsidRDefault="00E138A3" w:rsidP="008D4334">
      <w:pPr>
        <w:spacing w:line="240" w:lineRule="auto"/>
      </w:pPr>
    </w:p>
    <w:p w14:paraId="0B20B6AA" w14:textId="77777777" w:rsidR="00985108" w:rsidRPr="00DF1384" w:rsidRDefault="009E37BA" w:rsidP="008D4334">
      <w:pPr>
        <w:spacing w:line="240" w:lineRule="auto"/>
        <w:ind w:left="720"/>
        <w:rPr>
          <w:rFonts w:ascii="Arial" w:hAnsi="Arial" w:cs="Arial"/>
        </w:rPr>
      </w:pPr>
      <w:r w:rsidRPr="00DF1384">
        <w:rPr>
          <w:rFonts w:ascii="Arial" w:hAnsi="Arial" w:cs="Arial"/>
        </w:rPr>
        <w:t>Ramel et al. (2026) use nighttime lights to examine land values in the Philippines. The study is not a disaster paper, but it is important because it provides country-specific evidence that NTL relates to urbanization and socioeconomic conditions in a Philippine context. The paper also shows that the relationship is heterogeneous: commercial and residential land values respond differently, and the residential relationship may be nonlinear.</w:t>
      </w:r>
    </w:p>
    <w:p w14:paraId="6AC93A8C" w14:textId="77777777" w:rsidR="00E138A3" w:rsidRDefault="009E37BA" w:rsidP="008D4334">
      <w:pPr>
        <w:spacing w:line="240" w:lineRule="auto"/>
        <w:ind w:left="720"/>
        <w:rPr>
          <w:rFonts w:ascii="Arial" w:hAnsi="Arial" w:cs="Arial"/>
        </w:rPr>
      </w:pPr>
      <w:r w:rsidRPr="00DF1384">
        <w:rPr>
          <w:rFonts w:ascii="Arial" w:hAnsi="Arial" w:cs="Arial"/>
        </w:rPr>
        <w:t>This heterogeneity is highly relevant to disaster recovery interpretation. Brightness does not mean the same thing across land-use and settlement contexts. In dense commercial areas, light may track activity and agglomeration; in residential areas, extreme brightness may reflect congestion, externalities, or unequal development. For a disaster study, this supports GHSL- or land-use-stratified interpretation rather than a uniform brightness-to-recovery assumption. It also provides a Philippine-specific socioeconomic justification for using NTL cautiously, not universally.</w:t>
      </w:r>
    </w:p>
    <w:p w14:paraId="7C1AE8E0" w14:textId="27782B46" w:rsidR="002B7094" w:rsidRDefault="009E37BA" w:rsidP="008D4334">
      <w:pPr>
        <w:spacing w:line="240" w:lineRule="auto"/>
        <w:ind w:left="720"/>
        <w:rPr>
          <w:rFonts w:ascii="Arial" w:hAnsi="Arial" w:cs="Arial"/>
          <w:color w:val="C00000"/>
        </w:rPr>
      </w:pPr>
      <w:r w:rsidRPr="00E138A3">
        <w:rPr>
          <w:rFonts w:ascii="Arial" w:hAnsi="Arial" w:cs="Arial"/>
          <w:color w:val="C00000"/>
        </w:rPr>
        <w:t xml:space="preserve">Ramel, R. C. D., Legaspi, J. D., &amp; </w:t>
      </w:r>
      <w:proofErr w:type="spellStart"/>
      <w:r w:rsidRPr="00E138A3">
        <w:rPr>
          <w:rFonts w:ascii="Arial" w:hAnsi="Arial" w:cs="Arial"/>
          <w:color w:val="C00000"/>
        </w:rPr>
        <w:t>Pajaron</w:t>
      </w:r>
      <w:proofErr w:type="spellEnd"/>
      <w:r w:rsidRPr="00E138A3">
        <w:rPr>
          <w:rFonts w:ascii="Arial" w:hAnsi="Arial" w:cs="Arial"/>
          <w:color w:val="C00000"/>
        </w:rPr>
        <w:t xml:space="preserve">, M. C. (2026). Illuminating the land: The effects of nighttime lights on land values in the Philippines. Remote Sensing Letters, 17(5), 465-477. </w:t>
      </w:r>
      <w:hyperlink r:id="rId30" w:history="1">
        <w:r w:rsidR="00E138A3" w:rsidRPr="00FE5C29">
          <w:rPr>
            <w:rStyle w:val="Hyperlink"/>
            <w:rFonts w:ascii="Arial" w:hAnsi="Arial" w:cs="Arial"/>
          </w:rPr>
          <w:t>https://doi.org/10.1080/2150704X.2026.2650396</w:t>
        </w:r>
      </w:hyperlink>
      <w:r w:rsidR="00E138A3">
        <w:rPr>
          <w:rFonts w:ascii="Arial" w:hAnsi="Arial" w:cs="Arial"/>
          <w:color w:val="C00000"/>
        </w:rPr>
        <w:t xml:space="preserve"> </w:t>
      </w:r>
    </w:p>
    <w:p w14:paraId="64FCBF5B" w14:textId="77777777" w:rsidR="00983C64" w:rsidRPr="00810462" w:rsidRDefault="00983C64" w:rsidP="008D4334">
      <w:pPr>
        <w:spacing w:line="240" w:lineRule="auto"/>
        <w:ind w:left="720"/>
        <w:rPr>
          <w:rFonts w:ascii="Arial" w:hAnsi="Arial" w:cs="Arial"/>
          <w:color w:val="C00000"/>
        </w:rPr>
      </w:pPr>
    </w:p>
    <w:p w14:paraId="13C9D3BC" w14:textId="67B3E9BD" w:rsidR="00985108" w:rsidRPr="002B7094" w:rsidRDefault="00BE66B3" w:rsidP="008D4334">
      <w:pPr>
        <w:pStyle w:val="Heading2"/>
        <w:spacing w:line="240" w:lineRule="auto"/>
        <w:rPr>
          <w:rFonts w:ascii="Arial" w:hAnsi="Arial" w:cs="Arial"/>
          <w:color w:val="0432FF"/>
        </w:rPr>
      </w:pPr>
      <w:r w:rsidRPr="002B7094">
        <w:rPr>
          <w:rFonts w:ascii="Arial" w:hAnsi="Arial" w:cs="Arial"/>
          <w:color w:val="0432FF"/>
        </w:rPr>
        <w:t>XXIV. Abadie et al. - Synthetic Control Methods for Comparative Case Studies</w:t>
      </w:r>
    </w:p>
    <w:p w14:paraId="71FDB2BE" w14:textId="77777777" w:rsidR="00BE66B3" w:rsidRPr="00BE66B3" w:rsidRDefault="00BE66B3" w:rsidP="008D4334">
      <w:pPr>
        <w:spacing w:line="240" w:lineRule="auto"/>
      </w:pPr>
    </w:p>
    <w:p w14:paraId="40CC8F04" w14:textId="77777777" w:rsidR="00985108" w:rsidRPr="00DF1384" w:rsidRDefault="009E37BA" w:rsidP="008D4334">
      <w:pPr>
        <w:spacing w:line="240" w:lineRule="auto"/>
        <w:ind w:left="720"/>
        <w:rPr>
          <w:rFonts w:ascii="Arial" w:hAnsi="Arial" w:cs="Arial"/>
        </w:rPr>
      </w:pPr>
      <w:r w:rsidRPr="00DF1384">
        <w:rPr>
          <w:rFonts w:ascii="Arial" w:hAnsi="Arial" w:cs="Arial"/>
        </w:rPr>
        <w:t>Abadie et al. (2010) provide the methodological foundation for synthetic control designs. Although not an NTL study, the paper is central to recent disaster-impact approaches that construct a counterfactual outcome for an affected area from a weighted combination of unaffected donor areas. The method is attractive for disasters because the key question is rarely whether the observed series changed, but how it differs from what would have happened without the event.</w:t>
      </w:r>
    </w:p>
    <w:p w14:paraId="43D9C883" w14:textId="77777777" w:rsidR="005D2726" w:rsidRDefault="009E37BA" w:rsidP="008D4334">
      <w:pPr>
        <w:spacing w:line="240" w:lineRule="auto"/>
        <w:ind w:left="720"/>
        <w:rPr>
          <w:rFonts w:ascii="Arial" w:hAnsi="Arial" w:cs="Arial"/>
        </w:rPr>
      </w:pPr>
      <w:r w:rsidRPr="00DF1384">
        <w:rPr>
          <w:rFonts w:ascii="Arial" w:hAnsi="Arial" w:cs="Arial"/>
        </w:rPr>
        <w:t>In NTL disaster applications, synthetic control offers a way to replace weak static baselines with business-as-usual counterfactuals. However, the validity of the method depends on donor comparability, absence of spillover, and stable relationships between target and donors. These assumptions become difficult in tropical cyclone settings where nearby regions may share weather patterns, cloud contamination, grid disruptions, or hazard exposure. Synthetic control is therefore promising but must be adapted to observation-aware and hazard-aware donor selection.</w:t>
      </w:r>
    </w:p>
    <w:p w14:paraId="5F7F1925" w14:textId="749BA4E9" w:rsidR="00AE1A0C" w:rsidRDefault="009E37BA" w:rsidP="008D4334">
      <w:pPr>
        <w:spacing w:line="240" w:lineRule="auto"/>
        <w:ind w:left="720"/>
        <w:rPr>
          <w:rFonts w:ascii="Arial" w:hAnsi="Arial" w:cs="Arial"/>
          <w:color w:val="C00000"/>
        </w:rPr>
      </w:pPr>
      <w:r w:rsidRPr="005D2726">
        <w:rPr>
          <w:rFonts w:ascii="Arial" w:hAnsi="Arial" w:cs="Arial"/>
          <w:color w:val="C00000"/>
        </w:rPr>
        <w:t xml:space="preserve">Abadie, A., Diamond, A., &amp; </w:t>
      </w:r>
      <w:proofErr w:type="spellStart"/>
      <w:r w:rsidRPr="005D2726">
        <w:rPr>
          <w:rFonts w:ascii="Arial" w:hAnsi="Arial" w:cs="Arial"/>
          <w:color w:val="C00000"/>
        </w:rPr>
        <w:t>Hainmueller</w:t>
      </w:r>
      <w:proofErr w:type="spellEnd"/>
      <w:r w:rsidRPr="005D2726">
        <w:rPr>
          <w:rFonts w:ascii="Arial" w:hAnsi="Arial" w:cs="Arial"/>
          <w:color w:val="C00000"/>
        </w:rPr>
        <w:t xml:space="preserve">, J. (2010). Synthetic control methods for comparative case studies: Estimating the effect of California’s Tobacco Control Program. Journal of the American Statistical Association, 105(490), 493-505. </w:t>
      </w:r>
      <w:hyperlink r:id="rId31" w:history="1">
        <w:r w:rsidR="005D2726" w:rsidRPr="00FE5C29">
          <w:rPr>
            <w:rStyle w:val="Hyperlink"/>
            <w:rFonts w:ascii="Arial" w:hAnsi="Arial" w:cs="Arial"/>
          </w:rPr>
          <w:t>https://doi.org/10.1198/jasa.2009.ap08746</w:t>
        </w:r>
      </w:hyperlink>
      <w:r w:rsidR="005D2726">
        <w:rPr>
          <w:rFonts w:ascii="Arial" w:hAnsi="Arial" w:cs="Arial"/>
          <w:color w:val="C00000"/>
        </w:rPr>
        <w:t xml:space="preserve"> </w:t>
      </w:r>
    </w:p>
    <w:p w14:paraId="4B55B60B" w14:textId="77777777" w:rsidR="004F17F9" w:rsidRPr="004F17F9" w:rsidRDefault="004F17F9" w:rsidP="004F17F9">
      <w:pPr>
        <w:pStyle w:val="Heading2"/>
        <w:rPr>
          <w:color w:val="0432FF"/>
          <w:sz w:val="24"/>
        </w:rPr>
      </w:pPr>
      <w:r w:rsidRPr="004F17F9">
        <w:rPr>
          <w:color w:val="0432FF"/>
        </w:rPr>
        <w:lastRenderedPageBreak/>
        <w:t xml:space="preserve">XXV. Team </w:t>
      </w:r>
      <w:proofErr w:type="spellStart"/>
      <w:r w:rsidRPr="004F17F9">
        <w:rPr>
          <w:color w:val="0432FF"/>
        </w:rPr>
        <w:t>Nachtlichter</w:t>
      </w:r>
      <w:proofErr w:type="spellEnd"/>
      <w:r w:rsidRPr="004F17F9">
        <w:rPr>
          <w:color w:val="0432FF"/>
        </w:rPr>
        <w:t xml:space="preserve"> - Citizen Science Illuminates the Nature of City Lights</w:t>
      </w:r>
    </w:p>
    <w:p w14:paraId="32359DB0" w14:textId="4CB4829E" w:rsidR="004F17F9" w:rsidRPr="004F17F9" w:rsidRDefault="004F17F9" w:rsidP="004F17F9">
      <w:pPr>
        <w:pStyle w:val="NormalWeb"/>
        <w:ind w:left="720"/>
        <w:rPr>
          <w:rFonts w:ascii="Arial" w:hAnsi="Arial" w:cs="Arial"/>
          <w:sz w:val="21"/>
          <w:szCs w:val="21"/>
        </w:rPr>
      </w:pPr>
      <w:r w:rsidRPr="004F17F9">
        <w:rPr>
          <w:rFonts w:ascii="Arial" w:hAnsi="Arial" w:cs="Arial"/>
          <w:sz w:val="21"/>
          <w:szCs w:val="21"/>
        </w:rPr>
        <w:t xml:space="preserve">Team </w:t>
      </w:r>
      <w:proofErr w:type="spellStart"/>
      <w:r w:rsidRPr="004F17F9">
        <w:rPr>
          <w:rFonts w:ascii="Arial" w:hAnsi="Arial" w:cs="Arial"/>
          <w:sz w:val="21"/>
          <w:szCs w:val="21"/>
        </w:rPr>
        <w:t>Nachtlichter</w:t>
      </w:r>
      <w:proofErr w:type="spellEnd"/>
      <w:r w:rsidRPr="004F17F9">
        <w:rPr>
          <w:rFonts w:ascii="Arial" w:hAnsi="Arial" w:cs="Arial"/>
          <w:sz w:val="21"/>
          <w:szCs w:val="21"/>
        </w:rPr>
        <w:t xml:space="preserve"> (2025) </w:t>
      </w:r>
      <w:proofErr w:type="gramStart"/>
      <w:r w:rsidRPr="004F17F9">
        <w:rPr>
          <w:rFonts w:ascii="Arial" w:hAnsi="Arial" w:cs="Arial"/>
          <w:sz w:val="21"/>
          <w:szCs w:val="21"/>
        </w:rPr>
        <w:t>provide</w:t>
      </w:r>
      <w:proofErr w:type="gramEnd"/>
      <w:r w:rsidRPr="004F17F9">
        <w:rPr>
          <w:rFonts w:ascii="Arial" w:hAnsi="Arial" w:cs="Arial"/>
          <w:sz w:val="21"/>
          <w:szCs w:val="21"/>
        </w:rPr>
        <w:t xml:space="preserve"> an important ground-based counterpoint to satellite NTL interpretation. Using the </w:t>
      </w:r>
      <w:proofErr w:type="spellStart"/>
      <w:r w:rsidRPr="004F17F9">
        <w:rPr>
          <w:rFonts w:ascii="Arial" w:hAnsi="Arial" w:cs="Arial"/>
          <w:sz w:val="21"/>
          <w:szCs w:val="21"/>
        </w:rPr>
        <w:t>Nachtlichter</w:t>
      </w:r>
      <w:proofErr w:type="spellEnd"/>
      <w:r w:rsidRPr="004F17F9">
        <w:rPr>
          <w:rFonts w:ascii="Arial" w:hAnsi="Arial" w:cs="Arial"/>
          <w:sz w:val="21"/>
          <w:szCs w:val="21"/>
        </w:rPr>
        <w:t xml:space="preserve"> citizen-science app, participants counted and classified 234,044 individual light sources across roughly 22 km², primarily in Germany. The study shows that satellite-observed radiance cannot be assumed to represent street lighting alone. In dense urban areas, advertising and aesthetic lighting sources outnumbered streetlights, while private windows were the most frequently observed source overall. The study also estimated that 78 ± 3 million individual light sources remain illuminated at midnight across Germany. </w:t>
      </w:r>
    </w:p>
    <w:p w14:paraId="4DEF2CAC" w14:textId="1CBD72F9" w:rsidR="004F17F9" w:rsidRPr="004F17F9" w:rsidRDefault="004F17F9" w:rsidP="004F17F9">
      <w:pPr>
        <w:pStyle w:val="NormalWeb"/>
        <w:ind w:left="720"/>
        <w:rPr>
          <w:rFonts w:ascii="Arial" w:hAnsi="Arial" w:cs="Arial"/>
        </w:rPr>
      </w:pPr>
      <w:r w:rsidRPr="004F17F9">
        <w:rPr>
          <w:rFonts w:ascii="Arial" w:hAnsi="Arial" w:cs="Arial"/>
          <w:sz w:val="21"/>
          <w:szCs w:val="21"/>
        </w:rPr>
        <w:t>The relevance to RQ2 is interpretive. Nighttime lights measure upward radiance from a mixture of public, private, commercial, decorative, and building-related sources. In post-disaster settings, an apparent recovery in radiance may reflect street-light restoration, commercial reopening, household reoccupation, emergency lighting, or changes in private window illumination rather than uniform electricity restoration. This strengthens the need to frame NTL as electricity-mediated nighttime activity, not direct household power access or full recovery. It also supports GHSL- or land-use-stratified interpretation because the composition of lighting sources varies by urban form and settlement context.</w:t>
      </w:r>
    </w:p>
    <w:p w14:paraId="6B91A41D" w14:textId="77777777" w:rsidR="004F17F9" w:rsidRPr="00761328" w:rsidRDefault="004F17F9" w:rsidP="00761328">
      <w:pPr>
        <w:pStyle w:val="NormalWeb"/>
        <w:ind w:left="720"/>
        <w:rPr>
          <w:rFonts w:ascii="Arial" w:hAnsi="Arial" w:cs="Arial"/>
          <w:color w:val="C00000"/>
          <w:sz w:val="21"/>
          <w:szCs w:val="21"/>
        </w:rPr>
      </w:pPr>
      <w:r w:rsidRPr="00761328">
        <w:rPr>
          <w:rFonts w:ascii="Arial" w:hAnsi="Arial" w:cs="Arial"/>
          <w:color w:val="C00000"/>
          <w:sz w:val="21"/>
          <w:szCs w:val="21"/>
        </w:rPr>
        <w:t xml:space="preserve">Team </w:t>
      </w:r>
      <w:proofErr w:type="spellStart"/>
      <w:r w:rsidRPr="00761328">
        <w:rPr>
          <w:rFonts w:ascii="Arial" w:hAnsi="Arial" w:cs="Arial"/>
          <w:color w:val="C00000"/>
          <w:sz w:val="21"/>
          <w:szCs w:val="21"/>
        </w:rPr>
        <w:t>Nachtlichter</w:t>
      </w:r>
      <w:proofErr w:type="spellEnd"/>
      <w:r w:rsidRPr="00761328">
        <w:rPr>
          <w:rFonts w:ascii="Arial" w:hAnsi="Arial" w:cs="Arial"/>
          <w:color w:val="C00000"/>
          <w:sz w:val="21"/>
          <w:szCs w:val="21"/>
        </w:rPr>
        <w:t xml:space="preserve">. (2025). Citizen science illuminates the nature of city lights. </w:t>
      </w:r>
      <w:r w:rsidRPr="00761328">
        <w:rPr>
          <w:rStyle w:val="Emphasis"/>
          <w:rFonts w:ascii="Arial" w:hAnsi="Arial" w:cs="Arial"/>
          <w:color w:val="C00000"/>
          <w:sz w:val="21"/>
          <w:szCs w:val="21"/>
        </w:rPr>
        <w:t>Nature Cities, 2</w:t>
      </w:r>
      <w:r w:rsidRPr="00761328">
        <w:rPr>
          <w:rFonts w:ascii="Arial" w:hAnsi="Arial" w:cs="Arial"/>
          <w:color w:val="C00000"/>
          <w:sz w:val="21"/>
          <w:szCs w:val="21"/>
        </w:rPr>
        <w:t xml:space="preserve">, 496–505. </w:t>
      </w:r>
      <w:hyperlink r:id="rId32" w:history="1">
        <w:r w:rsidRPr="00761328">
          <w:rPr>
            <w:rStyle w:val="Hyperlink"/>
            <w:rFonts w:ascii="Arial" w:hAnsi="Arial" w:cs="Arial"/>
            <w:color w:val="C00000"/>
            <w:sz w:val="21"/>
            <w:szCs w:val="21"/>
          </w:rPr>
          <w:t>https://doi.org/10.1038/s4428</w:t>
        </w:r>
        <w:r w:rsidRPr="00761328">
          <w:rPr>
            <w:rStyle w:val="Hyperlink"/>
            <w:rFonts w:ascii="Arial" w:hAnsi="Arial" w:cs="Arial"/>
            <w:color w:val="C00000"/>
            <w:sz w:val="21"/>
            <w:szCs w:val="21"/>
          </w:rPr>
          <w:t>4</w:t>
        </w:r>
        <w:r w:rsidRPr="00761328">
          <w:rPr>
            <w:rStyle w:val="Hyperlink"/>
            <w:rFonts w:ascii="Arial" w:hAnsi="Arial" w:cs="Arial"/>
            <w:color w:val="C00000"/>
            <w:sz w:val="21"/>
            <w:szCs w:val="21"/>
          </w:rPr>
          <w:t>-025-00239-5</w:t>
        </w:r>
      </w:hyperlink>
    </w:p>
    <w:p w14:paraId="3B03759B" w14:textId="43B0034D" w:rsidR="00546B9E" w:rsidRDefault="00546B9E" w:rsidP="00546B9E">
      <w:pPr>
        <w:pStyle w:val="Heading2"/>
        <w:rPr>
          <w:color w:val="0432FF"/>
        </w:rPr>
      </w:pPr>
      <w:r w:rsidRPr="004F17F9">
        <w:rPr>
          <w:color w:val="0432FF"/>
        </w:rPr>
        <w:t>XXV</w:t>
      </w:r>
      <w:r>
        <w:rPr>
          <w:color w:val="0432FF"/>
        </w:rPr>
        <w:t>I</w:t>
      </w:r>
      <w:r w:rsidRPr="004F17F9">
        <w:rPr>
          <w:color w:val="0432FF"/>
        </w:rPr>
        <w:t xml:space="preserve">. </w:t>
      </w:r>
      <w:r w:rsidRPr="00546B9E">
        <w:rPr>
          <w:color w:val="0432FF"/>
        </w:rPr>
        <w:t>Wang et al. - NASA’s Black Marble Multiangle Nighttime Lights Temporal Composites</w:t>
      </w:r>
    </w:p>
    <w:p w14:paraId="78FDC3AD" w14:textId="06718EF6" w:rsidR="00546B9E" w:rsidRPr="00546B9E" w:rsidRDefault="00546B9E" w:rsidP="00546B9E">
      <w:pPr>
        <w:spacing w:before="100" w:beforeAutospacing="1" w:afterAutospacing="1" w:line="240" w:lineRule="auto"/>
        <w:ind w:left="720"/>
        <w:rPr>
          <w:rFonts w:ascii="Arial" w:hAnsi="Arial" w:cs="Arial"/>
          <w:szCs w:val="21"/>
        </w:rPr>
      </w:pPr>
      <w:r w:rsidRPr="00546B9E">
        <w:rPr>
          <w:rFonts w:ascii="Arial" w:hAnsi="Arial" w:cs="Arial"/>
          <w:szCs w:val="21"/>
        </w:rPr>
        <w:t xml:space="preserve">Wang et al. (2022) introduce NASA’s Black Marble monthly and annual multiangle temporal composites, VNP46A3 and VNP46A4. These products are generated from daily high-quality, atmospheric- and lunar-BRDF-corrected VNP46A2 radiances and are organized by view-angle categories, snow conditions, observation counts, radiance variability, and quality flags. The paper is important because it explicitly treats viewing geometry as a product dimension rather than a nuisance variable. Near-nadir, off-nadir, and all-angle composites can reveal different NTL </w:t>
      </w:r>
      <w:proofErr w:type="spellStart"/>
      <w:r w:rsidRPr="00546B9E">
        <w:rPr>
          <w:rFonts w:ascii="Arial" w:hAnsi="Arial" w:cs="Arial"/>
          <w:szCs w:val="21"/>
        </w:rPr>
        <w:t>behaviours</w:t>
      </w:r>
      <w:proofErr w:type="spellEnd"/>
      <w:r w:rsidRPr="00546B9E">
        <w:rPr>
          <w:rFonts w:ascii="Arial" w:hAnsi="Arial" w:cs="Arial"/>
          <w:szCs w:val="21"/>
        </w:rPr>
        <w:t>, including cases where changes appear in one angular category but not another.</w:t>
      </w:r>
    </w:p>
    <w:p w14:paraId="3A48BC8F" w14:textId="2C429886" w:rsidR="00546B9E" w:rsidRPr="00546B9E" w:rsidRDefault="00546B9E" w:rsidP="00546B9E">
      <w:pPr>
        <w:spacing w:before="100" w:beforeAutospacing="1" w:afterAutospacing="1" w:line="240" w:lineRule="auto"/>
        <w:ind w:left="720"/>
        <w:rPr>
          <w:rFonts w:ascii="Arial" w:hAnsi="Arial" w:cs="Arial"/>
          <w:szCs w:val="21"/>
        </w:rPr>
      </w:pPr>
      <w:r w:rsidRPr="00546B9E">
        <w:rPr>
          <w:rFonts w:ascii="Arial" w:hAnsi="Arial" w:cs="Arial"/>
          <w:szCs w:val="21"/>
        </w:rPr>
        <w:t xml:space="preserve">The paper is directly relevant to RQ2 because it reinforces why VZA should be diagnosed before fine-scale recovery metrics are interpreted. Wang et al. (2022) show that daily NTL has the highest temporal variation, while monthly and annual composites reduce variability. They also show that multiangle composites can detect effects related to urban structure and lighting technology, including LED transitions in Rome and Milan. The key caution is especially important for RQ2: Black Marble temporal composites labelled as gap-filled are populated with historical values and should not be used for quantitative change detection. This supports the decision to use observed </w:t>
      </w:r>
      <w:proofErr w:type="spellStart"/>
      <w:r w:rsidRPr="00546B9E">
        <w:rPr>
          <w:rFonts w:ascii="Arial" w:hAnsi="Arial" w:cs="Arial"/>
          <w:szCs w:val="21"/>
        </w:rPr>
        <w:t>DNB_BRDF_Corrected_NTL</w:t>
      </w:r>
      <w:proofErr w:type="spellEnd"/>
      <w:r w:rsidRPr="00546B9E">
        <w:rPr>
          <w:rFonts w:ascii="Arial" w:hAnsi="Arial" w:cs="Arial"/>
          <w:szCs w:val="21"/>
        </w:rPr>
        <w:t xml:space="preserve"> as the primary signal and gap-filled NTL only as a diagnostic comparison.</w:t>
      </w:r>
    </w:p>
    <w:p w14:paraId="13768568" w14:textId="77777777" w:rsidR="00546B9E" w:rsidRDefault="00546B9E" w:rsidP="00546B9E">
      <w:pPr>
        <w:spacing w:before="100" w:beforeAutospacing="1" w:afterAutospacing="1" w:line="240" w:lineRule="auto"/>
        <w:ind w:left="720"/>
        <w:rPr>
          <w:rFonts w:ascii="Arial" w:hAnsi="Arial" w:cs="Arial"/>
          <w:szCs w:val="21"/>
        </w:rPr>
      </w:pPr>
      <w:r w:rsidRPr="00546B9E">
        <w:rPr>
          <w:rFonts w:ascii="Arial" w:hAnsi="Arial" w:cs="Arial"/>
          <w:szCs w:val="21"/>
        </w:rPr>
        <w:t xml:space="preserve">Wang, Z., Shrestha, R. M., Román, M. O., &amp; Kalb, V. L. (2022). NASA’s Black Marble multiangle nighttime lights temporal composites. </w:t>
      </w:r>
      <w:r w:rsidRPr="00546B9E">
        <w:rPr>
          <w:rFonts w:ascii="Arial" w:hAnsi="Arial" w:cs="Arial"/>
          <w:i/>
          <w:iCs/>
          <w:szCs w:val="21"/>
        </w:rPr>
        <w:t>IEEE Geoscience and Remote Sensing Letters, 19</w:t>
      </w:r>
      <w:r w:rsidRPr="00546B9E">
        <w:rPr>
          <w:rFonts w:ascii="Arial" w:hAnsi="Arial" w:cs="Arial"/>
          <w:szCs w:val="21"/>
        </w:rPr>
        <w:t xml:space="preserve">, 2505105. </w:t>
      </w:r>
      <w:hyperlink r:id="rId33" w:history="1">
        <w:r w:rsidRPr="00546B9E">
          <w:rPr>
            <w:rFonts w:ascii="Arial" w:hAnsi="Arial" w:cs="Arial"/>
            <w:color w:val="0000FF"/>
            <w:szCs w:val="21"/>
            <w:u w:val="single"/>
          </w:rPr>
          <w:t>https://doi.org/10.1109/LGRS.2022.3176616</w:t>
        </w:r>
      </w:hyperlink>
    </w:p>
    <w:p w14:paraId="7F9EDA64" w14:textId="77777777" w:rsidR="004957DD" w:rsidRPr="004957DD" w:rsidRDefault="004957DD" w:rsidP="004957DD">
      <w:pPr>
        <w:pStyle w:val="Heading2"/>
        <w:rPr>
          <w:color w:val="0432FF"/>
          <w:sz w:val="28"/>
          <w:szCs w:val="32"/>
        </w:rPr>
      </w:pPr>
    </w:p>
    <w:p w14:paraId="3654DFA7" w14:textId="77777777" w:rsidR="004957DD" w:rsidRPr="004957DD" w:rsidRDefault="004957DD" w:rsidP="004957DD">
      <w:pPr>
        <w:pStyle w:val="Heading2"/>
        <w:rPr>
          <w:color w:val="0432FF"/>
          <w:sz w:val="24"/>
          <w:szCs w:val="32"/>
        </w:rPr>
      </w:pPr>
      <w:r w:rsidRPr="004957DD">
        <w:rPr>
          <w:color w:val="0432FF"/>
          <w:sz w:val="24"/>
          <w:szCs w:val="32"/>
        </w:rPr>
        <w:t>XXVII. Tan et al. - Modeling the Direction and Magnitude of Angular Effects in Nighttime Light Remote Sensing</w:t>
      </w:r>
    </w:p>
    <w:p w14:paraId="7114E3BB" w14:textId="3C5C9E3A" w:rsidR="004957DD" w:rsidRPr="004957DD" w:rsidRDefault="004957DD" w:rsidP="004957DD">
      <w:pPr>
        <w:pStyle w:val="NormalWeb"/>
        <w:ind w:left="720"/>
        <w:rPr>
          <w:rFonts w:ascii="Arial" w:hAnsi="Arial" w:cs="Arial"/>
          <w:sz w:val="21"/>
          <w:szCs w:val="21"/>
        </w:rPr>
      </w:pPr>
      <w:r w:rsidRPr="004957DD">
        <w:rPr>
          <w:rFonts w:ascii="Arial" w:hAnsi="Arial" w:cs="Arial"/>
          <w:sz w:val="21"/>
          <w:szCs w:val="21"/>
        </w:rPr>
        <w:t xml:space="preserve">Tan et al. (2022) provide one of the clearest methodological explanations of why viewing geometry matters in daily NTL. Using VIIRS Black Marble data, the study develops a conceptual </w:t>
      </w:r>
      <w:r w:rsidRPr="004957DD">
        <w:rPr>
          <w:rFonts w:ascii="Arial" w:hAnsi="Arial" w:cs="Arial"/>
          <w:sz w:val="21"/>
          <w:szCs w:val="21"/>
        </w:rPr>
        <w:lastRenderedPageBreak/>
        <w:t xml:space="preserve">model of angular effects and links them to three-dimensional urban landscapes. The paper identifies three angular-response types: negative, positive, and U-shaped. It shows that the direction of the angular effect is mainly controlled by building height, which determines how much artificial light is blocked or exposed under different satellite viewing angles. The magnitude of the angular effect is influenced by both NTL brightness and landscape factors, with buildings and vegetation exerting direct and indirect effects. </w:t>
      </w:r>
    </w:p>
    <w:p w14:paraId="49716383" w14:textId="482EF687" w:rsidR="004957DD" w:rsidRPr="004957DD" w:rsidRDefault="004957DD" w:rsidP="004957DD">
      <w:pPr>
        <w:pStyle w:val="NormalWeb"/>
        <w:ind w:left="720"/>
        <w:rPr>
          <w:rFonts w:ascii="Arial" w:hAnsi="Arial" w:cs="Arial"/>
          <w:sz w:val="21"/>
          <w:szCs w:val="21"/>
        </w:rPr>
      </w:pPr>
      <w:r w:rsidRPr="004957DD">
        <w:rPr>
          <w:rFonts w:ascii="Arial" w:hAnsi="Arial" w:cs="Arial"/>
          <w:sz w:val="21"/>
          <w:szCs w:val="21"/>
        </w:rPr>
        <w:t xml:space="preserve">The relevance to RQ2 is methodological. If pre-event and post-event observations are drawn from different VZA distributions, apparent shock or recovery may partly reflect geometry rather than functional activity. This risk is stronger in heterogeneous built environments where vertical surfaces, roads, trees, buildings, and shielding affect how much light escapes toward the sensor. For Samar–Leyte, the implication is not necessarily to build a full angular-correction model immediately, but to test whether shock magnitude, recovery timing, cumulative deficit, and T50/T80/T90 are stable under VZA filters. Tan et al. therefore supports the proposed VZA-sensitivity layer and the use of GHSL as a morphology-aware interpretability layer. </w:t>
      </w:r>
    </w:p>
    <w:p w14:paraId="1E0365B2" w14:textId="77777777" w:rsidR="004957DD" w:rsidRPr="004957DD" w:rsidRDefault="004957DD" w:rsidP="004957DD">
      <w:pPr>
        <w:pStyle w:val="NormalWeb"/>
        <w:ind w:left="720"/>
        <w:rPr>
          <w:rFonts w:ascii="Arial" w:hAnsi="Arial" w:cs="Arial"/>
          <w:color w:val="C00000"/>
          <w:sz w:val="21"/>
          <w:szCs w:val="21"/>
        </w:rPr>
      </w:pPr>
      <w:r w:rsidRPr="004957DD">
        <w:rPr>
          <w:rFonts w:ascii="Arial" w:hAnsi="Arial" w:cs="Arial"/>
          <w:color w:val="C00000"/>
          <w:sz w:val="21"/>
          <w:szCs w:val="21"/>
        </w:rPr>
        <w:t xml:space="preserve">Tan, X., Zhu, X., Chen, J., &amp; Chen, R. (2022). Modeling the direction and magnitude of angular effects in nighttime light remote sensing. </w:t>
      </w:r>
      <w:r w:rsidRPr="004957DD">
        <w:rPr>
          <w:rStyle w:val="Emphasis"/>
          <w:rFonts w:ascii="Arial" w:hAnsi="Arial" w:cs="Arial"/>
          <w:color w:val="C00000"/>
          <w:sz w:val="21"/>
          <w:szCs w:val="21"/>
        </w:rPr>
        <w:t>Remote Sensing of Environment, 269</w:t>
      </w:r>
      <w:r w:rsidRPr="004957DD">
        <w:rPr>
          <w:rFonts w:ascii="Arial" w:hAnsi="Arial" w:cs="Arial"/>
          <w:color w:val="C00000"/>
          <w:sz w:val="21"/>
          <w:szCs w:val="21"/>
        </w:rPr>
        <w:t xml:space="preserve">, 112834. </w:t>
      </w:r>
      <w:hyperlink r:id="rId34" w:history="1">
        <w:r w:rsidRPr="004957DD">
          <w:rPr>
            <w:rStyle w:val="Hyperlink"/>
            <w:rFonts w:ascii="Arial" w:hAnsi="Arial" w:cs="Arial"/>
            <w:color w:val="C00000"/>
            <w:sz w:val="21"/>
            <w:szCs w:val="21"/>
          </w:rPr>
          <w:t>https://doi.org/10.1016/j.rse.2021.112834</w:t>
        </w:r>
      </w:hyperlink>
    </w:p>
    <w:p w14:paraId="6D0CA113" w14:textId="77777777" w:rsidR="00180459" w:rsidRPr="00180459" w:rsidRDefault="00180459" w:rsidP="00180459">
      <w:pPr>
        <w:pStyle w:val="Heading2"/>
        <w:rPr>
          <w:color w:val="0432FF"/>
          <w:sz w:val="28"/>
          <w:szCs w:val="28"/>
        </w:rPr>
      </w:pPr>
      <w:r w:rsidRPr="00180459">
        <w:rPr>
          <w:color w:val="0432FF"/>
          <w:sz w:val="24"/>
          <w:szCs w:val="28"/>
        </w:rPr>
        <w:t>XXVIII. Li et al. - Continuous Monitoring of Nighttime Light Changes Based on Daily NASA’s Black Marble Product Suite</w:t>
      </w:r>
    </w:p>
    <w:p w14:paraId="188C3CB5" w14:textId="0D593ECB" w:rsidR="00180459" w:rsidRPr="00180459" w:rsidRDefault="00180459" w:rsidP="00180459">
      <w:pPr>
        <w:pStyle w:val="NormalWeb"/>
        <w:ind w:left="720"/>
        <w:rPr>
          <w:rFonts w:ascii="Arial" w:hAnsi="Arial" w:cs="Arial"/>
          <w:sz w:val="21"/>
          <w:szCs w:val="21"/>
        </w:rPr>
      </w:pPr>
      <w:r w:rsidRPr="00180459">
        <w:rPr>
          <w:rFonts w:ascii="Arial" w:hAnsi="Arial" w:cs="Arial"/>
          <w:sz w:val="21"/>
          <w:szCs w:val="21"/>
        </w:rPr>
        <w:t xml:space="preserve">Li et al. (2022) propose VZA-COLD, a viewing-zenith-angle-stratified continuous monitoring algorithm for detecting NTL changes using daily NASA Black Marble VNP46A2. The method divides clear observations into VZA intervals of 0–20°, 20–40°, 40–60°, and 0–60° to reduce temporal variation caused by viewing geometry and complex surface conditions such as building heights and vegetation canopy. It then fits single-term harmonic models within each VZA interval and compares observed DNB radiance with predicted values to detect breakpoints continuously. The method achieved high overall accuracy of 99.71%, with user’s accuracy of 87.18% and producer’s accuracy of 68.88% for the NTL change class. </w:t>
      </w:r>
    </w:p>
    <w:p w14:paraId="5701A752" w14:textId="33CAB1BC" w:rsidR="00180459" w:rsidRPr="00180459" w:rsidRDefault="00180459" w:rsidP="00180459">
      <w:pPr>
        <w:pStyle w:val="NormalWeb"/>
        <w:ind w:left="720"/>
        <w:rPr>
          <w:rFonts w:ascii="Arial" w:hAnsi="Arial" w:cs="Arial"/>
          <w:sz w:val="21"/>
          <w:szCs w:val="21"/>
        </w:rPr>
      </w:pPr>
      <w:r w:rsidRPr="00180459">
        <w:rPr>
          <w:rFonts w:ascii="Arial" w:hAnsi="Arial" w:cs="Arial"/>
          <w:sz w:val="21"/>
          <w:szCs w:val="21"/>
        </w:rPr>
        <w:t xml:space="preserve">This paper is highly relevant because it demonstrates a practical way to retain daily Black Marble temporal detail while accounting for VZA-driven instability. It also acknowledges that monthly and annual composites reduce temporal variation but lose the frequency needed for short-term monitoring. For RQ2, VZA-COLD is useful as a methodological precedent, but not necessarily as the first implementation. The immediate transfer is conceptual: daily recovery analysis should stratify or test by VZA, remove residual cloud/snow contamination where possible, and avoid interpreting </w:t>
      </w:r>
      <w:proofErr w:type="gramStart"/>
      <w:r w:rsidRPr="00180459">
        <w:rPr>
          <w:rFonts w:ascii="Arial" w:hAnsi="Arial" w:cs="Arial"/>
          <w:sz w:val="21"/>
          <w:szCs w:val="21"/>
        </w:rPr>
        <w:t>low-radiance</w:t>
      </w:r>
      <w:proofErr w:type="gramEnd"/>
      <w:r w:rsidRPr="00180459">
        <w:rPr>
          <w:rFonts w:ascii="Arial" w:hAnsi="Arial" w:cs="Arial"/>
          <w:sz w:val="21"/>
          <w:szCs w:val="21"/>
        </w:rPr>
        <w:t xml:space="preserve"> “consistent dark” pixels as meaningful change. This supports the planned sequence: observability audit first, VZA diagnostics second, recovery metrics only for admissible units. </w:t>
      </w:r>
    </w:p>
    <w:p w14:paraId="6E616F5E" w14:textId="74C0CEF4" w:rsidR="00B7420C" w:rsidRDefault="00180459" w:rsidP="00B7420C">
      <w:pPr>
        <w:pStyle w:val="NormalWeb"/>
        <w:ind w:left="720"/>
        <w:rPr>
          <w:rFonts w:ascii="Arial" w:hAnsi="Arial" w:cs="Arial"/>
          <w:color w:val="C00000"/>
          <w:sz w:val="21"/>
          <w:szCs w:val="21"/>
        </w:rPr>
      </w:pPr>
      <w:r w:rsidRPr="00180459">
        <w:rPr>
          <w:rFonts w:ascii="Arial" w:hAnsi="Arial" w:cs="Arial"/>
          <w:color w:val="C00000"/>
          <w:sz w:val="21"/>
          <w:szCs w:val="21"/>
        </w:rPr>
        <w:t xml:space="preserve">Li, T., Zhu, Z., Wang, Z., Román, M. O., Kalb, V. L., &amp; Zhao, Y. (2022). Continuous monitoring of nighttime light changes based on daily NASA’s Black Marble product suite. </w:t>
      </w:r>
      <w:r w:rsidRPr="00180459">
        <w:rPr>
          <w:rStyle w:val="Emphasis"/>
          <w:rFonts w:ascii="Arial" w:hAnsi="Arial" w:cs="Arial"/>
          <w:color w:val="C00000"/>
          <w:sz w:val="21"/>
          <w:szCs w:val="21"/>
        </w:rPr>
        <w:t>Remote Sensing of Environment, 282</w:t>
      </w:r>
      <w:r w:rsidRPr="00180459">
        <w:rPr>
          <w:rFonts w:ascii="Arial" w:hAnsi="Arial" w:cs="Arial"/>
          <w:color w:val="C00000"/>
          <w:sz w:val="21"/>
          <w:szCs w:val="21"/>
        </w:rPr>
        <w:t xml:space="preserve">, 113269. </w:t>
      </w:r>
      <w:hyperlink r:id="rId35" w:history="1">
        <w:r w:rsidRPr="00180459">
          <w:rPr>
            <w:rStyle w:val="Hyperlink"/>
            <w:rFonts w:ascii="Arial" w:hAnsi="Arial" w:cs="Arial"/>
            <w:color w:val="C00000"/>
            <w:sz w:val="21"/>
            <w:szCs w:val="21"/>
          </w:rPr>
          <w:t>https://doi.org/10.1016/j.rse.2022.113269</w:t>
        </w:r>
      </w:hyperlink>
    </w:p>
    <w:p w14:paraId="0DB59641" w14:textId="77777777" w:rsidR="00B7420C" w:rsidRDefault="00B7420C" w:rsidP="00B7420C">
      <w:pPr>
        <w:pStyle w:val="NormalWeb"/>
        <w:rPr>
          <w:rFonts w:ascii="Arial" w:hAnsi="Arial" w:cs="Arial"/>
          <w:color w:val="C00000"/>
          <w:sz w:val="21"/>
          <w:szCs w:val="21"/>
        </w:rPr>
      </w:pPr>
    </w:p>
    <w:p w14:paraId="199C3AE4" w14:textId="77777777" w:rsidR="00B7420C" w:rsidRPr="00B7420C" w:rsidRDefault="00B7420C" w:rsidP="00B7420C">
      <w:pPr>
        <w:pStyle w:val="NormalWeb"/>
        <w:rPr>
          <w:rFonts w:ascii="Arial" w:hAnsi="Arial" w:cs="Arial"/>
        </w:rPr>
      </w:pPr>
      <w:r w:rsidRPr="00B7420C">
        <w:rPr>
          <w:rFonts w:ascii="Arial" w:hAnsi="Arial" w:cs="Arial"/>
        </w:rPr>
        <w:t>XXIX. Lyons-Galante et al. - A Light in the Dark: Detectability of Mini-Grid Electrification with Remote Sensing in Sub-Saharan Africa</w:t>
      </w:r>
    </w:p>
    <w:p w14:paraId="198C0CA1" w14:textId="02B8759F" w:rsidR="00B7420C" w:rsidRPr="00B7420C" w:rsidRDefault="00B7420C" w:rsidP="00B7420C">
      <w:pPr>
        <w:pStyle w:val="NormalWeb"/>
        <w:ind w:left="720"/>
        <w:rPr>
          <w:rFonts w:ascii="Arial" w:hAnsi="Arial" w:cs="Arial"/>
          <w:sz w:val="21"/>
          <w:szCs w:val="21"/>
        </w:rPr>
      </w:pPr>
      <w:r w:rsidRPr="00B7420C">
        <w:rPr>
          <w:rFonts w:ascii="Arial" w:hAnsi="Arial" w:cs="Arial"/>
          <w:sz w:val="21"/>
          <w:szCs w:val="21"/>
        </w:rPr>
        <w:t xml:space="preserve">Lyons-Galante et al. (2026) examine whether mini-grid electrification is detectable from satellite nighttime brightness in rural sub-Saharan Africa. Using more than 700 mini-grids built between </w:t>
      </w:r>
      <w:r w:rsidRPr="00B7420C">
        <w:rPr>
          <w:rFonts w:ascii="Arial" w:hAnsi="Arial" w:cs="Arial"/>
          <w:sz w:val="21"/>
          <w:szCs w:val="21"/>
        </w:rPr>
        <w:lastRenderedPageBreak/>
        <w:t xml:space="preserve">2014 and 2023 across 20 countries, the study applies a staggered-treatment difference-in-differences design to test whether mini-grid installation produces a measurable increase in VIIRS nighttime lights. The main finding is conservative and important: mini-grid installation does not significantly alter the nighttime light signature immediately after commissioning, </w:t>
      </w:r>
      <w:r w:rsidRPr="00EF373B">
        <w:rPr>
          <w:rFonts w:ascii="Arial" w:hAnsi="Arial" w:cs="Arial"/>
          <w:b/>
          <w:bCs/>
          <w:sz w:val="21"/>
          <w:szCs w:val="21"/>
        </w:rPr>
        <w:t>suggesting that NTL-based electricity-access maps may underestimate rural electrification</w:t>
      </w:r>
      <w:r w:rsidRPr="00B7420C">
        <w:rPr>
          <w:rFonts w:ascii="Arial" w:hAnsi="Arial" w:cs="Arial"/>
          <w:sz w:val="21"/>
          <w:szCs w:val="21"/>
        </w:rPr>
        <w:t xml:space="preserve">. The study also identifies a consistent, temporally varying background signal in VIIRS DNB data that complicates detection of small brightness changes. </w:t>
      </w:r>
    </w:p>
    <w:p w14:paraId="2CCD4120" w14:textId="74F75B2C" w:rsidR="00B7420C" w:rsidRPr="00B7420C" w:rsidRDefault="00B7420C" w:rsidP="00B7420C">
      <w:pPr>
        <w:pStyle w:val="NormalWeb"/>
        <w:ind w:left="720"/>
        <w:rPr>
          <w:rFonts w:ascii="Arial" w:hAnsi="Arial" w:cs="Arial"/>
          <w:sz w:val="21"/>
          <w:szCs w:val="21"/>
        </w:rPr>
      </w:pPr>
      <w:r w:rsidRPr="00B7420C">
        <w:rPr>
          <w:rFonts w:ascii="Arial" w:hAnsi="Arial" w:cs="Arial"/>
          <w:sz w:val="21"/>
          <w:szCs w:val="21"/>
        </w:rPr>
        <w:t>The relevance to RQ2 is that electricity access or restoration is not always detectable from NTL, especially in low-consumption rural areas. This directly supports the proposed “</w:t>
      </w:r>
      <w:proofErr w:type="gramStart"/>
      <w:r w:rsidRPr="00B7420C">
        <w:rPr>
          <w:rFonts w:ascii="Arial" w:hAnsi="Arial" w:cs="Arial"/>
          <w:sz w:val="21"/>
          <w:szCs w:val="21"/>
        </w:rPr>
        <w:t>low-signal</w:t>
      </w:r>
      <w:proofErr w:type="gramEnd"/>
      <w:r w:rsidRPr="00B7420C">
        <w:rPr>
          <w:rFonts w:ascii="Arial" w:hAnsi="Arial" w:cs="Arial"/>
          <w:sz w:val="21"/>
          <w:szCs w:val="21"/>
        </w:rPr>
        <w:t xml:space="preserve"> / unstable” class in the observability framework. In Samar–Leyte, rural barangays, small coastal settlements, and low-density communities may experience real electricity restoration without producing a strong or stable DNB-BRDF signal. Therefore, </w:t>
      </w:r>
      <w:r w:rsidRPr="00D74316">
        <w:rPr>
          <w:rFonts w:ascii="Arial" w:hAnsi="Arial" w:cs="Arial"/>
          <w:b/>
          <w:bCs/>
          <w:sz w:val="21"/>
          <w:szCs w:val="21"/>
        </w:rPr>
        <w:t>absence of detectable radiance recovery should not automatically be interpreted as absence of functional recovery</w:t>
      </w:r>
      <w:r w:rsidRPr="00B7420C">
        <w:rPr>
          <w:rFonts w:ascii="Arial" w:hAnsi="Arial" w:cs="Arial"/>
          <w:sz w:val="21"/>
          <w:szCs w:val="21"/>
        </w:rPr>
        <w:t xml:space="preserve">. Lyons-Galante et al. also reinforce the need for external electricity data: NGCP load, utility records, or local outage reports are necessary to constrain the interpretation of NTL in low-light settings. </w:t>
      </w:r>
    </w:p>
    <w:p w14:paraId="59482AC9" w14:textId="77777777" w:rsidR="00B7420C" w:rsidRPr="00B7420C" w:rsidRDefault="00B7420C" w:rsidP="00B7420C">
      <w:pPr>
        <w:pStyle w:val="NormalWeb"/>
        <w:ind w:left="720"/>
        <w:rPr>
          <w:rFonts w:ascii="Arial" w:hAnsi="Arial" w:cs="Arial"/>
          <w:color w:val="C00000"/>
          <w:sz w:val="21"/>
          <w:szCs w:val="21"/>
        </w:rPr>
      </w:pPr>
      <w:r w:rsidRPr="00B7420C">
        <w:rPr>
          <w:rFonts w:ascii="Arial" w:hAnsi="Arial" w:cs="Arial"/>
          <w:color w:val="C00000"/>
          <w:sz w:val="21"/>
          <w:szCs w:val="21"/>
        </w:rPr>
        <w:t xml:space="preserve">Lyons-Galante, I., Sweetland, C., &amp; Karimzadeh, M. (2026). A light in the dark: Detectability of mini-grid electrification with remote sensing in sub-Saharan Africa. </w:t>
      </w:r>
      <w:r w:rsidRPr="00B7420C">
        <w:rPr>
          <w:rStyle w:val="Emphasis"/>
          <w:rFonts w:ascii="Arial" w:hAnsi="Arial" w:cs="Arial"/>
          <w:color w:val="C00000"/>
          <w:sz w:val="21"/>
          <w:szCs w:val="21"/>
        </w:rPr>
        <w:t>Environmental Research: Infrastructure and Sustainability, 6</w:t>
      </w:r>
      <w:r w:rsidRPr="00B7420C">
        <w:rPr>
          <w:rFonts w:ascii="Arial" w:hAnsi="Arial" w:cs="Arial"/>
          <w:color w:val="C00000"/>
          <w:sz w:val="21"/>
          <w:szCs w:val="21"/>
        </w:rPr>
        <w:t xml:space="preserve">, 025009. </w:t>
      </w:r>
      <w:hyperlink r:id="rId36" w:history="1">
        <w:r w:rsidRPr="00B7420C">
          <w:rPr>
            <w:rStyle w:val="Hyperlink"/>
            <w:rFonts w:ascii="Arial" w:hAnsi="Arial" w:cs="Arial"/>
            <w:color w:val="C00000"/>
            <w:sz w:val="21"/>
            <w:szCs w:val="21"/>
          </w:rPr>
          <w:t>https://doi.org/10.1088/2634-4505/ae636d</w:t>
        </w:r>
      </w:hyperlink>
    </w:p>
    <w:p w14:paraId="5FCBB6DB" w14:textId="77777777" w:rsidR="00B7420C" w:rsidRPr="00180459" w:rsidRDefault="00B7420C" w:rsidP="00180459">
      <w:pPr>
        <w:pStyle w:val="NormalWeb"/>
        <w:ind w:left="720"/>
        <w:rPr>
          <w:rFonts w:ascii="Arial" w:hAnsi="Arial" w:cs="Arial"/>
          <w:color w:val="C00000"/>
          <w:sz w:val="21"/>
          <w:szCs w:val="21"/>
        </w:rPr>
      </w:pPr>
    </w:p>
    <w:p w14:paraId="3A8D3E1B" w14:textId="77777777" w:rsidR="004957DD" w:rsidRPr="00546B9E" w:rsidRDefault="004957DD" w:rsidP="00180459">
      <w:pPr>
        <w:spacing w:before="100" w:beforeAutospacing="1" w:afterAutospacing="1" w:line="240" w:lineRule="auto"/>
        <w:rPr>
          <w:rFonts w:ascii="Arial" w:hAnsi="Arial" w:cs="Arial"/>
          <w:szCs w:val="21"/>
        </w:rPr>
      </w:pPr>
    </w:p>
    <w:p w14:paraId="67E97ACC" w14:textId="77777777" w:rsidR="00546B9E" w:rsidRPr="00546B9E" w:rsidRDefault="00546B9E" w:rsidP="00546B9E"/>
    <w:p w14:paraId="6F6ED2BA" w14:textId="77777777" w:rsidR="004F17F9" w:rsidRPr="005D2726" w:rsidRDefault="004F17F9" w:rsidP="00546B9E">
      <w:pPr>
        <w:spacing w:line="240" w:lineRule="auto"/>
        <w:rPr>
          <w:rFonts w:ascii="Arial" w:hAnsi="Arial" w:cs="Arial"/>
          <w:color w:val="C00000"/>
        </w:rPr>
      </w:pPr>
    </w:p>
    <w:p w14:paraId="2B7303C7" w14:textId="5E5C4ACA" w:rsidR="00985108" w:rsidRPr="001B71BE" w:rsidRDefault="00AE1A0C" w:rsidP="008D4334">
      <w:pPr>
        <w:pStyle w:val="Heading1"/>
        <w:spacing w:line="240" w:lineRule="auto"/>
        <w:rPr>
          <w:rFonts w:ascii="Arial" w:hAnsi="Arial" w:cs="Arial"/>
          <w:color w:val="000000" w:themeColor="text1"/>
          <w:sz w:val="28"/>
          <w:szCs w:val="32"/>
        </w:rPr>
      </w:pPr>
      <w:r w:rsidRPr="001B71BE">
        <w:rPr>
          <w:rFonts w:ascii="Arial" w:hAnsi="Arial" w:cs="Arial"/>
          <w:color w:val="000000" w:themeColor="text1"/>
          <w:sz w:val="28"/>
          <w:szCs w:val="32"/>
        </w:rPr>
        <w:t xml:space="preserve">Chapter </w:t>
      </w:r>
      <w:r w:rsidR="00CC4CE9">
        <w:rPr>
          <w:rFonts w:ascii="Arial" w:hAnsi="Arial" w:cs="Arial"/>
          <w:color w:val="000000" w:themeColor="text1"/>
          <w:sz w:val="28"/>
          <w:szCs w:val="32"/>
        </w:rPr>
        <w:t>3</w:t>
      </w:r>
      <w:r w:rsidRPr="001B71BE">
        <w:rPr>
          <w:rFonts w:ascii="Arial" w:hAnsi="Arial" w:cs="Arial"/>
          <w:color w:val="000000" w:themeColor="text1"/>
          <w:sz w:val="28"/>
          <w:szCs w:val="32"/>
        </w:rPr>
        <w:t>: Cross-study synthesis</w:t>
      </w:r>
    </w:p>
    <w:p w14:paraId="7664A1EE" w14:textId="680AE8FF" w:rsidR="00985108" w:rsidRPr="00DF1384" w:rsidRDefault="009E37BA" w:rsidP="008D4334">
      <w:pPr>
        <w:pStyle w:val="Heading2"/>
        <w:numPr>
          <w:ilvl w:val="0"/>
          <w:numId w:val="10"/>
        </w:numPr>
        <w:spacing w:line="240" w:lineRule="auto"/>
        <w:rPr>
          <w:rFonts w:ascii="Arial" w:hAnsi="Arial" w:cs="Arial"/>
        </w:rPr>
      </w:pPr>
      <w:r w:rsidRPr="00DF1384">
        <w:rPr>
          <w:rFonts w:ascii="Arial" w:hAnsi="Arial" w:cs="Arial"/>
        </w:rPr>
        <w:t>Recovery as a multi-dimensional and proxy-based process</w:t>
      </w:r>
    </w:p>
    <w:p w14:paraId="27D9464E" w14:textId="77777777" w:rsidR="00D92497" w:rsidRDefault="00D92497" w:rsidP="008D4334">
      <w:pPr>
        <w:spacing w:line="240" w:lineRule="auto"/>
        <w:ind w:left="1080"/>
        <w:rPr>
          <w:rFonts w:ascii="Arial" w:hAnsi="Arial" w:cs="Arial"/>
        </w:rPr>
      </w:pPr>
    </w:p>
    <w:p w14:paraId="0DA52C50" w14:textId="6D887ABB" w:rsidR="00985108" w:rsidRPr="00DF1384" w:rsidRDefault="009E37BA" w:rsidP="008D4334">
      <w:pPr>
        <w:spacing w:line="240" w:lineRule="auto"/>
        <w:ind w:left="1080"/>
        <w:rPr>
          <w:rFonts w:ascii="Arial" w:hAnsi="Arial" w:cs="Arial"/>
        </w:rPr>
      </w:pPr>
      <w:r w:rsidRPr="00DF1384">
        <w:rPr>
          <w:rFonts w:ascii="Arial" w:hAnsi="Arial" w:cs="Arial"/>
        </w:rPr>
        <w:t xml:space="preserve">The post-disaster recovery literature begins from a definitional problem: recovery is not directly observable as a single physical state. It may refer to repair of buildings, restoration of utilities, return of population, resumption of livelihoods, reopening of markets, reduction of risk, or improvement beyond pre-event conditions. </w:t>
      </w:r>
      <w:proofErr w:type="spellStart"/>
      <w:r w:rsidRPr="00DF1384">
        <w:rPr>
          <w:rFonts w:ascii="Arial" w:hAnsi="Arial" w:cs="Arial"/>
        </w:rPr>
        <w:t>Ghaffarian</w:t>
      </w:r>
      <w:proofErr w:type="spellEnd"/>
      <w:r w:rsidRPr="00DF1384">
        <w:rPr>
          <w:rFonts w:ascii="Arial" w:hAnsi="Arial" w:cs="Arial"/>
        </w:rPr>
        <w:t xml:space="preserve"> (2020) and </w:t>
      </w:r>
      <w:proofErr w:type="spellStart"/>
      <w:r w:rsidRPr="00DF1384">
        <w:rPr>
          <w:rFonts w:ascii="Arial" w:hAnsi="Arial" w:cs="Arial"/>
        </w:rPr>
        <w:t>Ghaffarian</w:t>
      </w:r>
      <w:proofErr w:type="spellEnd"/>
      <w:r w:rsidRPr="00DF1384">
        <w:rPr>
          <w:rFonts w:ascii="Arial" w:hAnsi="Arial" w:cs="Arial"/>
        </w:rPr>
        <w:t xml:space="preserve"> et al. (2018) are useful because they make this proxy structure explicit. Remote sensing can observe traces of recovery, but the meaning of each trace depends on which recovery dimension is being considered.</w:t>
      </w:r>
    </w:p>
    <w:p w14:paraId="14A1AE7D" w14:textId="77777777" w:rsidR="00985108" w:rsidRPr="00DF1384" w:rsidRDefault="009E37BA" w:rsidP="008D4334">
      <w:pPr>
        <w:spacing w:line="240" w:lineRule="auto"/>
        <w:ind w:left="1080"/>
        <w:rPr>
          <w:rFonts w:ascii="Arial" w:hAnsi="Arial" w:cs="Arial"/>
        </w:rPr>
      </w:pPr>
      <w:r w:rsidRPr="00DF1384">
        <w:rPr>
          <w:rFonts w:ascii="Arial" w:hAnsi="Arial" w:cs="Arial"/>
        </w:rPr>
        <w:t>This distinction is central for nighttime lights. NTL is not a direct measure of disaster recovery. It is a proxy for emitted and reflected artificial light, which may relate to electrification, public lighting, commercial activity, mobility, household occupation, or emergency response depending on context. The literature therefore supports a cautious framing: NTL can contribute to functional recovery assessment, but it cannot replace structural damage mapping, household surveys, administrative recovery records, or hazard-exposure analysis. Friedrich et al. (2026) reinforce this distinction by separating physical, qualitative, functional, resilience-relative, and risk-relative recovery. Within that typology, NTL is strongest when interpreted as a functional indicator, particularly for electricity-mediated disruption and restoration.</w:t>
      </w:r>
    </w:p>
    <w:p w14:paraId="19AFB872" w14:textId="0D601B08" w:rsidR="00985108" w:rsidRPr="00DF1384" w:rsidRDefault="009E37BA" w:rsidP="008D4334">
      <w:pPr>
        <w:pStyle w:val="Heading2"/>
        <w:numPr>
          <w:ilvl w:val="0"/>
          <w:numId w:val="10"/>
        </w:numPr>
        <w:spacing w:line="240" w:lineRule="auto"/>
        <w:rPr>
          <w:rFonts w:ascii="Arial" w:hAnsi="Arial" w:cs="Arial"/>
        </w:rPr>
      </w:pPr>
      <w:r w:rsidRPr="00DF1384">
        <w:rPr>
          <w:rFonts w:ascii="Arial" w:hAnsi="Arial" w:cs="Arial"/>
        </w:rPr>
        <w:t>From physical damage proxies to functional recovery proxies</w:t>
      </w:r>
    </w:p>
    <w:p w14:paraId="19B9EAA8" w14:textId="77777777" w:rsidR="0081046F" w:rsidRDefault="0081046F" w:rsidP="008D4334">
      <w:pPr>
        <w:spacing w:line="240" w:lineRule="auto"/>
        <w:ind w:left="1080"/>
        <w:rPr>
          <w:rFonts w:ascii="Arial" w:hAnsi="Arial" w:cs="Arial"/>
        </w:rPr>
      </w:pPr>
    </w:p>
    <w:p w14:paraId="0543A863" w14:textId="3F040ED6" w:rsidR="00985108" w:rsidRPr="00DF1384" w:rsidRDefault="009E37BA" w:rsidP="008D4334">
      <w:pPr>
        <w:spacing w:line="240" w:lineRule="auto"/>
        <w:ind w:left="1080"/>
        <w:rPr>
          <w:rFonts w:ascii="Arial" w:hAnsi="Arial" w:cs="Arial"/>
        </w:rPr>
      </w:pPr>
      <w:r w:rsidRPr="00DF1384">
        <w:rPr>
          <w:rFonts w:ascii="Arial" w:hAnsi="Arial" w:cs="Arial"/>
        </w:rPr>
        <w:lastRenderedPageBreak/>
        <w:t xml:space="preserve">Early and mid-stage post-disaster remote sensing studies were dominated by observable physical changes: debris, building collapse, roof damage, road obstruction, vegetation loss, land-cover transition, and reconstructed built-up area. </w:t>
      </w:r>
      <w:proofErr w:type="spellStart"/>
      <w:r w:rsidRPr="00DF1384">
        <w:rPr>
          <w:rFonts w:ascii="Arial" w:hAnsi="Arial" w:cs="Arial"/>
        </w:rPr>
        <w:t>Ghaffarian</w:t>
      </w:r>
      <w:proofErr w:type="spellEnd"/>
      <w:r w:rsidRPr="00DF1384">
        <w:rPr>
          <w:rFonts w:ascii="Arial" w:hAnsi="Arial" w:cs="Arial"/>
        </w:rPr>
        <w:t xml:space="preserve"> (2020) and </w:t>
      </w:r>
      <w:proofErr w:type="spellStart"/>
      <w:r w:rsidRPr="00DF1384">
        <w:rPr>
          <w:rFonts w:ascii="Arial" w:hAnsi="Arial" w:cs="Arial"/>
        </w:rPr>
        <w:t>Sheykhmousa</w:t>
      </w:r>
      <w:proofErr w:type="spellEnd"/>
      <w:r w:rsidRPr="00DF1384">
        <w:rPr>
          <w:rFonts w:ascii="Arial" w:hAnsi="Arial" w:cs="Arial"/>
        </w:rPr>
        <w:t xml:space="preserve"> et al. (2019) show how this tradition can be organized into multi-temporal recovery assessment. Their approach is valuable because it avoids one-date damage mapping and instead follows how physical landscapes change after an event.</w:t>
      </w:r>
    </w:p>
    <w:p w14:paraId="0F9F8F92" w14:textId="77777777" w:rsidR="00985108" w:rsidRPr="00DF1384" w:rsidRDefault="009E37BA" w:rsidP="008D4334">
      <w:pPr>
        <w:spacing w:line="240" w:lineRule="auto"/>
        <w:ind w:left="1080"/>
        <w:rPr>
          <w:rFonts w:ascii="Arial" w:hAnsi="Arial" w:cs="Arial"/>
        </w:rPr>
      </w:pPr>
      <w:r w:rsidRPr="00DF1384">
        <w:rPr>
          <w:rFonts w:ascii="Arial" w:hAnsi="Arial" w:cs="Arial"/>
        </w:rPr>
        <w:t>The limitation of physical proxies is that reconstructed form does not necessarily imply restored function. A rebuilt area may remain disconnected from electricity, services, livelihoods, transport, or secure tenure. Conversely, temporary or informal restoration of function may occur before physical reconstruction is visible in land-cover products. This is where NTL contributes a distinct signal. It does not detect walls, roofs, or debris; it detects nighttime emitted radiance. In disaster contexts, that signal can indicate electricity restoration, resumed activity, or spatially uneven functional return. The literature therefore supports complementarity: optical and land-cover proxies can represent physical recovery, while NTL can represent a subset of functional recovery when validated.</w:t>
      </w:r>
    </w:p>
    <w:p w14:paraId="775390F4" w14:textId="240231A3" w:rsidR="00985108" w:rsidRPr="00DF1384" w:rsidRDefault="009E37BA" w:rsidP="008D4334">
      <w:pPr>
        <w:pStyle w:val="Heading2"/>
        <w:numPr>
          <w:ilvl w:val="0"/>
          <w:numId w:val="10"/>
        </w:numPr>
        <w:spacing w:line="240" w:lineRule="auto"/>
        <w:rPr>
          <w:rFonts w:ascii="Arial" w:hAnsi="Arial" w:cs="Arial"/>
        </w:rPr>
      </w:pPr>
      <w:r w:rsidRPr="00DF1384">
        <w:rPr>
          <w:rFonts w:ascii="Arial" w:hAnsi="Arial" w:cs="Arial"/>
        </w:rPr>
        <w:t>Origins of nighttime lights as a socioeconomic proxy</w:t>
      </w:r>
    </w:p>
    <w:p w14:paraId="6AB9954C" w14:textId="77777777" w:rsidR="004B7619" w:rsidRDefault="004B7619" w:rsidP="008D4334">
      <w:pPr>
        <w:spacing w:line="240" w:lineRule="auto"/>
        <w:ind w:left="1080"/>
        <w:rPr>
          <w:rFonts w:ascii="Arial" w:hAnsi="Arial" w:cs="Arial"/>
        </w:rPr>
      </w:pPr>
    </w:p>
    <w:p w14:paraId="5BECD454" w14:textId="534DCCE0" w:rsidR="00985108" w:rsidRPr="00DF1384" w:rsidRDefault="009E37BA" w:rsidP="008D4334">
      <w:pPr>
        <w:spacing w:line="240" w:lineRule="auto"/>
        <w:ind w:left="1080"/>
        <w:rPr>
          <w:rFonts w:ascii="Arial" w:hAnsi="Arial" w:cs="Arial"/>
        </w:rPr>
      </w:pPr>
      <w:r w:rsidRPr="00DF1384">
        <w:rPr>
          <w:rFonts w:ascii="Arial" w:hAnsi="Arial" w:cs="Arial"/>
        </w:rPr>
        <w:t xml:space="preserve">The use of NTL in disaster studies rests on a broader socioeconomic-proxy literature. Elvidge et al. (1997) established global mapping of stable lights from DMSP-OLS, while Chen and Nordhaus (2011) and Henderson et al. (2012) formalized luminosity as a proxy for economic statistics and growth. These studies demonstrated that lights </w:t>
      </w:r>
      <w:proofErr w:type="gramStart"/>
      <w:r w:rsidRPr="00DF1384">
        <w:rPr>
          <w:rFonts w:ascii="Arial" w:hAnsi="Arial" w:cs="Arial"/>
        </w:rPr>
        <w:t>can</w:t>
      </w:r>
      <w:proofErr w:type="gramEnd"/>
      <w:r w:rsidRPr="00DF1384">
        <w:rPr>
          <w:rFonts w:ascii="Arial" w:hAnsi="Arial" w:cs="Arial"/>
        </w:rPr>
        <w:t xml:space="preserve"> reveal spatially distributed human activity where conventional data are coarse, delayed, or unreliable.</w:t>
      </w:r>
    </w:p>
    <w:p w14:paraId="279A85BD" w14:textId="77777777" w:rsidR="00985108" w:rsidRPr="00DF1384" w:rsidRDefault="009E37BA" w:rsidP="008D4334">
      <w:pPr>
        <w:spacing w:line="240" w:lineRule="auto"/>
        <w:ind w:left="1080"/>
        <w:rPr>
          <w:rFonts w:ascii="Arial" w:hAnsi="Arial" w:cs="Arial"/>
        </w:rPr>
      </w:pPr>
      <w:r w:rsidRPr="00DF1384">
        <w:rPr>
          <w:rFonts w:ascii="Arial" w:hAnsi="Arial" w:cs="Arial"/>
        </w:rPr>
        <w:t xml:space="preserve">However, the socioeconomic-proxy tradition also introduced a risk of overinterpretation. A correlation between lights and economic activity under ordinary conditions does not mean that every post-disaster brightness change measures economic loss or recovery. Disaster contexts are characterized by abrupt infrastructure failure, emergency lighting, displacement, curfews, cloud contamination, public-lighting restoration, generator use, and </w:t>
      </w:r>
      <w:proofErr w:type="spellStart"/>
      <w:r w:rsidRPr="00DF1384">
        <w:rPr>
          <w:rFonts w:ascii="Arial" w:hAnsi="Arial" w:cs="Arial"/>
        </w:rPr>
        <w:t>behavioural</w:t>
      </w:r>
      <w:proofErr w:type="spellEnd"/>
      <w:r w:rsidRPr="00DF1384">
        <w:rPr>
          <w:rFonts w:ascii="Arial" w:hAnsi="Arial" w:cs="Arial"/>
        </w:rPr>
        <w:t xml:space="preserve"> change. Elliott et al. (2015) applied the economic-proxy logic to typhoons in China, showing the value of local rather than national impact estimates, but the annual DMSP design could not resolve short-term shock and recovery. The recent literature therefore moves from broad economic proxy use toward daily event-sensitive interpretation.</w:t>
      </w:r>
    </w:p>
    <w:p w14:paraId="6E097AB9" w14:textId="50CC05B8" w:rsidR="00985108" w:rsidRPr="00DF1384" w:rsidRDefault="009E37BA" w:rsidP="008D4334">
      <w:pPr>
        <w:pStyle w:val="Heading2"/>
        <w:numPr>
          <w:ilvl w:val="0"/>
          <w:numId w:val="10"/>
        </w:numPr>
        <w:spacing w:line="240" w:lineRule="auto"/>
        <w:rPr>
          <w:rFonts w:ascii="Arial" w:hAnsi="Arial" w:cs="Arial"/>
        </w:rPr>
      </w:pPr>
      <w:r w:rsidRPr="00DF1384">
        <w:rPr>
          <w:rFonts w:ascii="Arial" w:hAnsi="Arial" w:cs="Arial"/>
        </w:rPr>
        <w:t>DMSP-OLS limitations and the transition to VIIRS Black Marble</w:t>
      </w:r>
    </w:p>
    <w:p w14:paraId="58B95715" w14:textId="77777777" w:rsidR="00DE5A8E" w:rsidRDefault="00DE5A8E" w:rsidP="008D4334">
      <w:pPr>
        <w:spacing w:line="240" w:lineRule="auto"/>
        <w:ind w:left="1080"/>
        <w:rPr>
          <w:rFonts w:ascii="Arial" w:hAnsi="Arial" w:cs="Arial"/>
        </w:rPr>
      </w:pPr>
    </w:p>
    <w:p w14:paraId="7CB60DF4" w14:textId="257370C1" w:rsidR="00985108" w:rsidRPr="00DF1384" w:rsidRDefault="009E37BA" w:rsidP="008D4334">
      <w:pPr>
        <w:spacing w:line="240" w:lineRule="auto"/>
        <w:ind w:left="1080"/>
        <w:rPr>
          <w:rFonts w:ascii="Arial" w:hAnsi="Arial" w:cs="Arial"/>
        </w:rPr>
      </w:pPr>
      <w:r w:rsidRPr="00DF1384">
        <w:rPr>
          <w:rFonts w:ascii="Arial" w:hAnsi="Arial" w:cs="Arial"/>
        </w:rPr>
        <w:t>The transition from DMSP-OLS to VIIRS is more than a sensor upgrade; it changes the class of questions that can be asked. DMSP enabled long-run global analysis, but its coarse resolution, saturation, blooming, annual compositing, limited radiometric calibration, and weak temporal specificity constrained disaster applications. Under DMSP, a typhoon impact could be associated with annual local activity decline, but outage onset, short-term recovery, delay, and post-event instability were largely inaccessible.</w:t>
      </w:r>
    </w:p>
    <w:p w14:paraId="6F42487E" w14:textId="77777777" w:rsidR="00985108" w:rsidRPr="00DF1384" w:rsidRDefault="009E37BA" w:rsidP="008D4334">
      <w:pPr>
        <w:spacing w:line="240" w:lineRule="auto"/>
        <w:ind w:left="1080"/>
        <w:rPr>
          <w:rFonts w:ascii="Arial" w:hAnsi="Arial" w:cs="Arial"/>
        </w:rPr>
      </w:pPr>
      <w:r w:rsidRPr="00DF1384">
        <w:rPr>
          <w:rFonts w:ascii="Arial" w:hAnsi="Arial" w:cs="Arial"/>
        </w:rPr>
        <w:t>VIIRS and the Black Marble product suite changed this by providing daily, radiometrically calibrated nighttime lights with quality layers and corrections for lunar, atmospheric, terrain, cloud, snow, and BRDF-related effects (Román et al., 2018). This enabled studies such as Román et al. (2019), Chakraborty and Stokes (2023), Mu et al. (2025), and Zheng et al. (2025) to model daily disruption and recovery rather than only annual or monthly differences. The field therefore shifted from detecting whether a disaster left an aggregate signature to estimating when a shock occurred, how severe it was, how long recovery took, and how spatially unequal the recovery trajectory became.</w:t>
      </w:r>
    </w:p>
    <w:p w14:paraId="5CE3F78B" w14:textId="57B8FD96" w:rsidR="00985108" w:rsidRDefault="009E37BA" w:rsidP="008D4334">
      <w:pPr>
        <w:pStyle w:val="Heading2"/>
        <w:numPr>
          <w:ilvl w:val="0"/>
          <w:numId w:val="10"/>
        </w:numPr>
        <w:spacing w:line="240" w:lineRule="auto"/>
        <w:rPr>
          <w:rFonts w:ascii="Arial" w:hAnsi="Arial" w:cs="Arial"/>
        </w:rPr>
      </w:pPr>
      <w:r w:rsidRPr="00DF1384">
        <w:rPr>
          <w:rFonts w:ascii="Arial" w:hAnsi="Arial" w:cs="Arial"/>
        </w:rPr>
        <w:t>Daily NTL does not eliminate the observation problem</w:t>
      </w:r>
    </w:p>
    <w:p w14:paraId="6D012571" w14:textId="77777777" w:rsidR="00842468" w:rsidRPr="00842468" w:rsidRDefault="00842468" w:rsidP="008D4334">
      <w:pPr>
        <w:spacing w:line="240" w:lineRule="auto"/>
      </w:pPr>
    </w:p>
    <w:p w14:paraId="309C6D62" w14:textId="77777777" w:rsidR="00985108" w:rsidRPr="00DF1384" w:rsidRDefault="009E37BA" w:rsidP="008D4334">
      <w:pPr>
        <w:spacing w:line="240" w:lineRule="auto"/>
        <w:ind w:left="1080"/>
        <w:rPr>
          <w:rFonts w:ascii="Arial" w:hAnsi="Arial" w:cs="Arial"/>
        </w:rPr>
      </w:pPr>
      <w:r w:rsidRPr="00DF1384">
        <w:rPr>
          <w:rFonts w:ascii="Arial" w:hAnsi="Arial" w:cs="Arial"/>
        </w:rPr>
        <w:lastRenderedPageBreak/>
        <w:t>A recurring lesson across the recent literature is that higher temporal resolution does not automatically mean higher interpretability. Daily NTL provides more observations in principle, but many observations are unusable because of cloud, snow, poor-quality flags, stray light, viewing geometry, data holes, or atmospheric effects. In tropical regions, this problem is intensified by persistent cloud cover and seasonal weather regimes. The central methodological issue becomes observability: whether the satellite obtained a valid view of the ground-light signal on a given night.</w:t>
      </w:r>
    </w:p>
    <w:p w14:paraId="7C1D12ED" w14:textId="3EB77EEF" w:rsidR="00985108" w:rsidRPr="00DF1384" w:rsidRDefault="009E37BA" w:rsidP="008D4334">
      <w:pPr>
        <w:spacing w:line="240" w:lineRule="auto"/>
        <w:ind w:left="1080"/>
        <w:rPr>
          <w:rFonts w:ascii="Arial" w:hAnsi="Arial" w:cs="Arial"/>
        </w:rPr>
      </w:pPr>
      <w:r w:rsidRPr="00DF1384">
        <w:rPr>
          <w:rFonts w:ascii="Arial" w:hAnsi="Arial" w:cs="Arial"/>
        </w:rPr>
        <w:t xml:space="preserve">Román et al. (2018) introduced quality-aware daily products, but later work demonstrates that remaining instabilities matter. Pei et al. (2025) address spatial mismatch, angular effects, and data holes in a high-quality daily NTL dataset. Thomas et al. (2024) show that preprocessing choices affect hurricane damage estimation. Levin (2025) emphasizes cloud masks, overpass timing, blue-light sensitivity, and anisotropy as unresolved challenges. Together, these studies indicate that daily NTL should not be treated as continuous observation. </w:t>
      </w:r>
      <w:r w:rsidR="00E4379F">
        <w:rPr>
          <w:rFonts w:ascii="Arial" w:hAnsi="Arial" w:cs="Arial"/>
        </w:rPr>
        <w:t>Data gap</w:t>
      </w:r>
      <w:r w:rsidRPr="00DF1384">
        <w:rPr>
          <w:rFonts w:ascii="Arial" w:hAnsi="Arial" w:cs="Arial"/>
        </w:rPr>
        <w:t xml:space="preserve"> and quality are part of the evidence base. In cloud-impacted tropical regions, an apparent lack of recovery may mean not recovered, not observable, or not interpretable.</w:t>
      </w:r>
    </w:p>
    <w:p w14:paraId="026C157F" w14:textId="300076F1" w:rsidR="00985108" w:rsidRDefault="009E37BA" w:rsidP="008D4334">
      <w:pPr>
        <w:pStyle w:val="Heading2"/>
        <w:numPr>
          <w:ilvl w:val="0"/>
          <w:numId w:val="10"/>
        </w:numPr>
        <w:spacing w:line="240" w:lineRule="auto"/>
        <w:rPr>
          <w:rFonts w:ascii="Arial" w:hAnsi="Arial" w:cs="Arial"/>
        </w:rPr>
      </w:pPr>
      <w:r w:rsidRPr="00DF1384">
        <w:rPr>
          <w:rFonts w:ascii="Arial" w:hAnsi="Arial" w:cs="Arial"/>
        </w:rPr>
        <w:t>View zenith angle, anisotropy, BRDF, and spectral limitations</w:t>
      </w:r>
    </w:p>
    <w:p w14:paraId="502464DB" w14:textId="77777777" w:rsidR="00941BE6" w:rsidRPr="00941BE6" w:rsidRDefault="00941BE6" w:rsidP="008D4334">
      <w:pPr>
        <w:spacing w:line="240" w:lineRule="auto"/>
      </w:pPr>
    </w:p>
    <w:p w14:paraId="0781654F" w14:textId="77777777" w:rsidR="00985108" w:rsidRPr="00DF1384" w:rsidRDefault="009E37BA" w:rsidP="008D4334">
      <w:pPr>
        <w:spacing w:line="240" w:lineRule="auto"/>
        <w:ind w:left="1080"/>
        <w:rPr>
          <w:rFonts w:ascii="Arial" w:hAnsi="Arial" w:cs="Arial"/>
        </w:rPr>
      </w:pPr>
      <w:r w:rsidRPr="00DF1384">
        <w:rPr>
          <w:rFonts w:ascii="Arial" w:hAnsi="Arial" w:cs="Arial"/>
        </w:rPr>
        <w:t xml:space="preserve">The recent literature increasingly shows that the NTL signal is </w:t>
      </w:r>
      <w:proofErr w:type="gramStart"/>
      <w:r w:rsidRPr="00DF1384">
        <w:rPr>
          <w:rFonts w:ascii="Arial" w:hAnsi="Arial" w:cs="Arial"/>
        </w:rPr>
        <w:t>geometry-dependent</w:t>
      </w:r>
      <w:proofErr w:type="gramEnd"/>
      <w:r w:rsidRPr="00DF1384">
        <w:rPr>
          <w:rFonts w:ascii="Arial" w:hAnsi="Arial" w:cs="Arial"/>
        </w:rPr>
        <w:t>. Black Marble includes BRDF correction, but artificial lighting is not a simple Lambertian surface. It consists of direct light, reflected light, shielded fixtures, vehicle lights, indoor light through windows, and public lighting, all modified by buildings, trees, road geometry, and atmospheric scattering. View zenith angle therefore affects the observed radiance, particularly in heterogeneous urban and peri-urban landscapes.</w:t>
      </w:r>
    </w:p>
    <w:p w14:paraId="0A1835B6" w14:textId="77777777" w:rsidR="00985108" w:rsidRPr="00DF1384" w:rsidRDefault="009E37BA" w:rsidP="008D4334">
      <w:pPr>
        <w:spacing w:line="240" w:lineRule="auto"/>
        <w:ind w:left="1080"/>
        <w:rPr>
          <w:rFonts w:ascii="Arial" w:hAnsi="Arial" w:cs="Arial"/>
        </w:rPr>
      </w:pPr>
      <w:r w:rsidRPr="00DF1384">
        <w:rPr>
          <w:rFonts w:ascii="Arial" w:hAnsi="Arial" w:cs="Arial"/>
        </w:rPr>
        <w:t>Zheng et al. (2025) explicitly correct for angular effects using VZA information, while Pei et al. (2025) treat angular correction as a core element of high-quality daily NTL production. Tong (2025) further shows that anisotropy varies by land use, strengthening the argument that settlement morphology must be considered. Hung et al. (2021) add a spectral warning: VIIRS-observed radiance can decrease after LED retrofit even when ground-observed sky brightness increases. This means that apparent dimming cannot be interpreted solely as reduced activity or electricity loss. For disaster studies, these findings collectively require angle-aware and spectrum-aware caution, especially when event windows contain few valid observations.</w:t>
      </w:r>
    </w:p>
    <w:p w14:paraId="5DD13F74" w14:textId="7AEFE082" w:rsidR="00985108" w:rsidRPr="00DF1384" w:rsidRDefault="009E37BA" w:rsidP="008D4334">
      <w:pPr>
        <w:pStyle w:val="Heading2"/>
        <w:numPr>
          <w:ilvl w:val="0"/>
          <w:numId w:val="10"/>
        </w:numPr>
        <w:spacing w:line="240" w:lineRule="auto"/>
        <w:rPr>
          <w:rFonts w:ascii="Arial" w:hAnsi="Arial" w:cs="Arial"/>
        </w:rPr>
      </w:pPr>
      <w:r w:rsidRPr="00DF1384">
        <w:rPr>
          <w:rFonts w:ascii="Arial" w:hAnsi="Arial" w:cs="Arial"/>
        </w:rPr>
        <w:t>NTL disaster applications: from impact detection to electricity restoration</w:t>
      </w:r>
    </w:p>
    <w:p w14:paraId="1C641767" w14:textId="77777777" w:rsidR="00AB589E" w:rsidRDefault="00AB589E" w:rsidP="008D4334">
      <w:pPr>
        <w:spacing w:line="240" w:lineRule="auto"/>
        <w:ind w:left="1080"/>
        <w:rPr>
          <w:rFonts w:ascii="Arial" w:hAnsi="Arial" w:cs="Arial"/>
        </w:rPr>
      </w:pPr>
    </w:p>
    <w:p w14:paraId="3F7C2680" w14:textId="4292FF97" w:rsidR="00985108" w:rsidRPr="00DF1384" w:rsidRDefault="009E37BA" w:rsidP="008D4334">
      <w:pPr>
        <w:spacing w:line="240" w:lineRule="auto"/>
        <w:ind w:left="1080"/>
        <w:rPr>
          <w:rFonts w:ascii="Arial" w:hAnsi="Arial" w:cs="Arial"/>
        </w:rPr>
      </w:pPr>
      <w:r w:rsidRPr="00DF1384">
        <w:rPr>
          <w:rFonts w:ascii="Arial" w:hAnsi="Arial" w:cs="Arial"/>
        </w:rPr>
        <w:t>NTL disaster applications have evolved from broad economic impact estimation to more explicit functional recovery assessment. Elliott et al. (2015) used annual DMSP lights to estimate local economic effects of typhoons, while Román et al. (2019) and Shermeyer (2018) used VIIRS-era data to examine electricity and infrastructure recovery after Hurricane Maria. These studies show that NTL can detect disaster-related disruption, but they also reveal that the interpretation depends on whether the target phenomenon is economic activity, electricity restoration, population return, or public-lighting recovery.</w:t>
      </w:r>
    </w:p>
    <w:p w14:paraId="18DDDBE3" w14:textId="77777777" w:rsidR="00985108" w:rsidRPr="00DF1384" w:rsidRDefault="009E37BA" w:rsidP="008D4334">
      <w:pPr>
        <w:spacing w:line="240" w:lineRule="auto"/>
        <w:ind w:left="1080"/>
        <w:rPr>
          <w:rFonts w:ascii="Arial" w:hAnsi="Arial" w:cs="Arial"/>
        </w:rPr>
      </w:pPr>
      <w:r w:rsidRPr="00DF1384">
        <w:rPr>
          <w:rFonts w:ascii="Arial" w:hAnsi="Arial" w:cs="Arial"/>
        </w:rPr>
        <w:t xml:space="preserve">This distinction matters for metric design. Impact magnitude, duration below baseline, recovery time, and post-event stability can be derived from NTL, but the meaning of these </w:t>
      </w:r>
      <w:proofErr w:type="gramStart"/>
      <w:r w:rsidRPr="00DF1384">
        <w:rPr>
          <w:rFonts w:ascii="Arial" w:hAnsi="Arial" w:cs="Arial"/>
        </w:rPr>
        <w:t>metrics</w:t>
      </w:r>
      <w:proofErr w:type="gramEnd"/>
      <w:r w:rsidRPr="00DF1384">
        <w:rPr>
          <w:rFonts w:ascii="Arial" w:hAnsi="Arial" w:cs="Arial"/>
        </w:rPr>
        <w:t xml:space="preserve"> changes across contexts. A drop in NTL may reflect outage, evacuation, curfew, cloud screening, or reduced activity. A recovery in NTL may reflect grid reconnection, generator use, public lighting restoration, emergency operations, or commercial reopening. Therefore, the strongest disaster applications connect NTL to event timing, affected-area definitions, settlement context, and independent validation. NTL is most defensible when it is treated as one component of a multi-evidence recovery assessment.</w:t>
      </w:r>
    </w:p>
    <w:p w14:paraId="12494FB6" w14:textId="5CE545CB" w:rsidR="00985108" w:rsidRPr="00DF1384" w:rsidRDefault="009E37BA" w:rsidP="008D4334">
      <w:pPr>
        <w:pStyle w:val="Heading2"/>
        <w:numPr>
          <w:ilvl w:val="0"/>
          <w:numId w:val="10"/>
        </w:numPr>
        <w:spacing w:line="240" w:lineRule="auto"/>
        <w:rPr>
          <w:rFonts w:ascii="Arial" w:hAnsi="Arial" w:cs="Arial"/>
        </w:rPr>
      </w:pPr>
      <w:r w:rsidRPr="00DF1384">
        <w:rPr>
          <w:rFonts w:ascii="Arial" w:hAnsi="Arial" w:cs="Arial"/>
        </w:rPr>
        <w:t>Baselines, counterfactuals, and adaptive time-series modelling</w:t>
      </w:r>
    </w:p>
    <w:p w14:paraId="162537C7" w14:textId="77777777" w:rsidR="000020DD" w:rsidRDefault="000020DD" w:rsidP="008D4334">
      <w:pPr>
        <w:spacing w:line="240" w:lineRule="auto"/>
        <w:ind w:left="1080"/>
        <w:rPr>
          <w:rFonts w:ascii="Arial" w:hAnsi="Arial" w:cs="Arial"/>
        </w:rPr>
      </w:pPr>
    </w:p>
    <w:p w14:paraId="2183AE18" w14:textId="2D970846" w:rsidR="00985108" w:rsidRPr="00DF1384" w:rsidRDefault="009E37BA" w:rsidP="008D4334">
      <w:pPr>
        <w:spacing w:line="240" w:lineRule="auto"/>
        <w:ind w:left="1080"/>
        <w:rPr>
          <w:rFonts w:ascii="Arial" w:hAnsi="Arial" w:cs="Arial"/>
        </w:rPr>
      </w:pPr>
      <w:r w:rsidRPr="00DF1384">
        <w:rPr>
          <w:rFonts w:ascii="Arial" w:hAnsi="Arial" w:cs="Arial"/>
        </w:rPr>
        <w:lastRenderedPageBreak/>
        <w:t>A major methodological advance in recent NTL disaster research is the move away from simple before-after differencing. Earlier studies often used a pre-event mean as baseline, but this assumes that the pre-event state is stable, representative, and a valid counterfactual. That assumption is weak in rapidly changing urban regions, seasonally variable settings, and disaster-prone environments with repeated shocks.</w:t>
      </w:r>
    </w:p>
    <w:p w14:paraId="53BA924E" w14:textId="77777777" w:rsidR="00985108" w:rsidRPr="00DF1384" w:rsidRDefault="009E37BA" w:rsidP="008D4334">
      <w:pPr>
        <w:spacing w:line="240" w:lineRule="auto"/>
        <w:ind w:left="1080"/>
        <w:rPr>
          <w:rFonts w:ascii="Arial" w:hAnsi="Arial" w:cs="Arial"/>
        </w:rPr>
      </w:pPr>
      <w:r w:rsidRPr="00DF1384">
        <w:rPr>
          <w:rFonts w:ascii="Arial" w:hAnsi="Arial" w:cs="Arial"/>
        </w:rPr>
        <w:t>Chakraborty and Stokes (2023) use adaptive forecasting to learn expected NTL behavior and identify anomalies as deviations from modelled expectations. Mu et al. (2025) use synthetic control to estimate business-as-usual NTL under a no-disaster counterfactual. Zheng et al. (2025) use BEAST to decompose trend, seasonality, and abrupt change in daily NTL time series. These approaches differ in model structure, but they share the same premise: recovery assessment requires an estimate of what the signal should have been without the event. The remaining challenge is that counterfactual models are only as valid as their observational inputs. In low-observability settings, the baseline model must distinguish true radiance behavior from gaps, quality-screening artefacts, and angular instability.</w:t>
      </w:r>
    </w:p>
    <w:p w14:paraId="378B8E08" w14:textId="0282DA4A" w:rsidR="00985108" w:rsidRPr="00DF1384" w:rsidRDefault="009E37BA" w:rsidP="008D4334">
      <w:pPr>
        <w:pStyle w:val="Heading2"/>
        <w:numPr>
          <w:ilvl w:val="0"/>
          <w:numId w:val="10"/>
        </w:numPr>
        <w:spacing w:line="240" w:lineRule="auto"/>
        <w:rPr>
          <w:rFonts w:ascii="Arial" w:hAnsi="Arial" w:cs="Arial"/>
        </w:rPr>
      </w:pPr>
      <w:r w:rsidRPr="00DF1384">
        <w:rPr>
          <w:rFonts w:ascii="Arial" w:hAnsi="Arial" w:cs="Arial"/>
        </w:rPr>
        <w:t>Scale, aggregation, and settlement heterogeneity</w:t>
      </w:r>
    </w:p>
    <w:p w14:paraId="359239C7" w14:textId="77777777" w:rsidR="00D8598D" w:rsidRDefault="00D8598D" w:rsidP="008D4334">
      <w:pPr>
        <w:spacing w:line="240" w:lineRule="auto"/>
        <w:ind w:left="1080"/>
        <w:rPr>
          <w:rFonts w:ascii="Arial" w:hAnsi="Arial" w:cs="Arial"/>
        </w:rPr>
      </w:pPr>
    </w:p>
    <w:p w14:paraId="7FD49E9F" w14:textId="70FD0413" w:rsidR="00985108" w:rsidRPr="00DF1384" w:rsidRDefault="009E37BA" w:rsidP="008D4334">
      <w:pPr>
        <w:spacing w:line="240" w:lineRule="auto"/>
        <w:ind w:left="1080"/>
        <w:rPr>
          <w:rFonts w:ascii="Arial" w:hAnsi="Arial" w:cs="Arial"/>
        </w:rPr>
      </w:pPr>
      <w:r w:rsidRPr="00DF1384">
        <w:rPr>
          <w:rFonts w:ascii="Arial" w:hAnsi="Arial" w:cs="Arial"/>
        </w:rPr>
        <w:t>The literature increasingly rejects the idea that disaster recovery can be represented by a single regional NTL curve. Zheng et al. (2025) show that aggregated statistics can underestimate spatial heterogeneity and recovery inequality. Small (2021) shows that brightness regimes differ in temporal stability. Ramel et al. (2026) show that Philippine NTL relationships vary by land-use and value context. These findings converge on the same methodological point: spatial aggregation is not neutral.</w:t>
      </w:r>
    </w:p>
    <w:p w14:paraId="1AD6322D" w14:textId="77777777" w:rsidR="00985108" w:rsidRPr="00DF1384" w:rsidRDefault="009E37BA" w:rsidP="008D4334">
      <w:pPr>
        <w:spacing w:line="240" w:lineRule="auto"/>
        <w:ind w:left="1080"/>
        <w:rPr>
          <w:rFonts w:ascii="Arial" w:hAnsi="Arial" w:cs="Arial"/>
        </w:rPr>
      </w:pPr>
      <w:r w:rsidRPr="00DF1384">
        <w:rPr>
          <w:rFonts w:ascii="Arial" w:hAnsi="Arial" w:cs="Arial"/>
        </w:rPr>
        <w:t>GHSL and related settlement products are therefore not simply background masks. They can structure the interpretation of NTL by separating dense urban cores, semi-dense settlements, peri-urban areas, villages, and sparsely lit landscapes. This is especially important in tropical cyclone contexts where power infrastructure, settlement density, exposure, and observability differ sharply across space. Without settlement stratification, a recovery curve may combine bright urban pixels with dim rural pixels, stable public lighting with intermittent household lighting, and observable areas with cloud-obscured areas. The result may be numerically smooth but conceptually weak.</w:t>
      </w:r>
    </w:p>
    <w:p w14:paraId="264F97EE" w14:textId="4FD4F556" w:rsidR="00985108" w:rsidRPr="00DF1384" w:rsidRDefault="009E37BA" w:rsidP="008D4334">
      <w:pPr>
        <w:pStyle w:val="Heading2"/>
        <w:numPr>
          <w:ilvl w:val="0"/>
          <w:numId w:val="10"/>
        </w:numPr>
        <w:spacing w:line="240" w:lineRule="auto"/>
        <w:rPr>
          <w:rFonts w:ascii="Arial" w:hAnsi="Arial" w:cs="Arial"/>
        </w:rPr>
      </w:pPr>
      <w:r w:rsidRPr="00DF1384">
        <w:rPr>
          <w:rFonts w:ascii="Arial" w:hAnsi="Arial" w:cs="Arial"/>
        </w:rPr>
        <w:t>Electricity validation and the limits of socioeconomic interpretation</w:t>
      </w:r>
    </w:p>
    <w:p w14:paraId="77845DB0" w14:textId="77777777" w:rsidR="00933B9E" w:rsidRDefault="00933B9E" w:rsidP="008D4334">
      <w:pPr>
        <w:spacing w:line="240" w:lineRule="auto"/>
        <w:ind w:left="1080"/>
        <w:rPr>
          <w:rFonts w:ascii="Arial" w:hAnsi="Arial" w:cs="Arial"/>
        </w:rPr>
      </w:pPr>
    </w:p>
    <w:p w14:paraId="5684460C" w14:textId="37D4BDDB" w:rsidR="00985108" w:rsidRPr="00DF1384" w:rsidRDefault="009E37BA" w:rsidP="008D4334">
      <w:pPr>
        <w:spacing w:line="240" w:lineRule="auto"/>
        <w:ind w:left="1080"/>
        <w:rPr>
          <w:rFonts w:ascii="Arial" w:hAnsi="Arial" w:cs="Arial"/>
        </w:rPr>
      </w:pPr>
      <w:r w:rsidRPr="00DF1384">
        <w:rPr>
          <w:rFonts w:ascii="Arial" w:hAnsi="Arial" w:cs="Arial"/>
        </w:rPr>
        <w:t>The strongest interpretation of NTL in disaster recovery often concerns electricity-mediated function. Román et al. (2019) and Shermeyer (2018) show that NTL can be used to assess restoration after Hurricane Maria, while Friedrich et al. (2026) position NTL as a high-frequency proxy for electricity outage and restoration. However, NTL is not electricity demand itself. It detects light emitted upward toward the sensor, not household access, feeder status, grid repair, or service reliability.</w:t>
      </w:r>
    </w:p>
    <w:p w14:paraId="2B802A3B" w14:textId="77777777" w:rsidR="00985108" w:rsidRPr="00DF1384" w:rsidRDefault="009E37BA" w:rsidP="008D4334">
      <w:pPr>
        <w:spacing w:line="240" w:lineRule="auto"/>
        <w:ind w:left="1080"/>
        <w:rPr>
          <w:rFonts w:ascii="Arial" w:hAnsi="Arial" w:cs="Arial"/>
        </w:rPr>
      </w:pPr>
      <w:r w:rsidRPr="00DF1384">
        <w:rPr>
          <w:rFonts w:ascii="Arial" w:hAnsi="Arial" w:cs="Arial"/>
        </w:rPr>
        <w:t>This is where independent power data become methodologically important. If NTL is interpreted as electricity-related recovery, alignment with load, outage, feeder, or utility data can test whether radiance changes correspond to electrical restoration. NGCP-type demand data are therefore not merely external validation; they help define the interpretation boundary. A radiance drop that does not align with load decline may reflect cloud, VZA, public-lighting behavior, or localized settlement effects. A radiance recovery that aligns with load recovery strengthens the functional interpretation but still does not prove household-level equity or welfare. Electricity validation narrows the claim to what NTL can support.</w:t>
      </w:r>
    </w:p>
    <w:p w14:paraId="6EE0D42D" w14:textId="2E3AAA55" w:rsidR="00985108" w:rsidRPr="00DF1384" w:rsidRDefault="009E37BA" w:rsidP="008D4334">
      <w:pPr>
        <w:pStyle w:val="Heading2"/>
        <w:numPr>
          <w:ilvl w:val="0"/>
          <w:numId w:val="10"/>
        </w:numPr>
        <w:spacing w:line="240" w:lineRule="auto"/>
        <w:rPr>
          <w:rFonts w:ascii="Arial" w:hAnsi="Arial" w:cs="Arial"/>
        </w:rPr>
      </w:pPr>
      <w:r w:rsidRPr="00DF1384">
        <w:rPr>
          <w:rFonts w:ascii="Arial" w:hAnsi="Arial" w:cs="Arial"/>
        </w:rPr>
        <w:t>Social recovery, vulnerability, and what NTL cannot measure</w:t>
      </w:r>
    </w:p>
    <w:p w14:paraId="33D0CCC1" w14:textId="77777777" w:rsidR="00AD1EEE" w:rsidRDefault="00AD1EEE" w:rsidP="008D4334">
      <w:pPr>
        <w:spacing w:line="240" w:lineRule="auto"/>
        <w:ind w:left="1080"/>
        <w:rPr>
          <w:rFonts w:ascii="Arial" w:hAnsi="Arial" w:cs="Arial"/>
        </w:rPr>
      </w:pPr>
    </w:p>
    <w:p w14:paraId="4238ABC6" w14:textId="6DC82F70" w:rsidR="00985108" w:rsidRPr="00DF1384" w:rsidRDefault="009E37BA" w:rsidP="008D4334">
      <w:pPr>
        <w:spacing w:line="240" w:lineRule="auto"/>
        <w:ind w:left="1080"/>
        <w:rPr>
          <w:rFonts w:ascii="Arial" w:hAnsi="Arial" w:cs="Arial"/>
        </w:rPr>
      </w:pPr>
      <w:r w:rsidRPr="00DF1384">
        <w:rPr>
          <w:rFonts w:ascii="Arial" w:hAnsi="Arial" w:cs="Arial"/>
        </w:rPr>
        <w:t xml:space="preserve">The literature also clarifies what NTL should not claim. Lauer et al. (2026) show that resettlement and visible settlement activity can coexist with persistent flood risk, inadequate </w:t>
      </w:r>
      <w:r w:rsidRPr="00DF1384">
        <w:rPr>
          <w:rFonts w:ascii="Arial" w:hAnsi="Arial" w:cs="Arial"/>
        </w:rPr>
        <w:lastRenderedPageBreak/>
        <w:t xml:space="preserve">infrastructure, and vulnerability. </w:t>
      </w:r>
      <w:proofErr w:type="spellStart"/>
      <w:r w:rsidRPr="00DF1384">
        <w:rPr>
          <w:rFonts w:ascii="Arial" w:hAnsi="Arial" w:cs="Arial"/>
        </w:rPr>
        <w:t>Ghaffarian</w:t>
      </w:r>
      <w:proofErr w:type="spellEnd"/>
      <w:r w:rsidRPr="00DF1384">
        <w:rPr>
          <w:rFonts w:ascii="Arial" w:hAnsi="Arial" w:cs="Arial"/>
        </w:rPr>
        <w:t xml:space="preserve"> (2020) similarly distinguishes recovery from reconstruction and resilience. These studies are important because they prevent a common proxy error: treating visible or functional activity as equivalent to safe, equitable, or resilient recovery.</w:t>
      </w:r>
    </w:p>
    <w:p w14:paraId="1322944A" w14:textId="77777777" w:rsidR="00985108" w:rsidRPr="00DF1384" w:rsidRDefault="009E37BA" w:rsidP="008D4334">
      <w:pPr>
        <w:spacing w:line="240" w:lineRule="auto"/>
        <w:ind w:left="1080"/>
        <w:rPr>
          <w:rFonts w:ascii="Arial" w:hAnsi="Arial" w:cs="Arial"/>
        </w:rPr>
      </w:pPr>
      <w:r w:rsidRPr="00DF1384">
        <w:rPr>
          <w:rFonts w:ascii="Arial" w:hAnsi="Arial" w:cs="Arial"/>
        </w:rPr>
        <w:t>NTL cannot measure tenure security, mental health, livelihood sufficiency, governance quality, social cohesion, household debt, or whether reconstruction has reduced future risk. It may show that an area is lit; it does not show that residents are safe. It may show restored activity; it does not show equitable recovery. This does not reduce the value of NTL. Instead, it positions NTL as a specific functional indicator within a broader recovery framework. Its novelty in disaster research lies in daily, spatially extensive observation of nighttime function, not in replacing social or institutional recovery assessment.</w:t>
      </w:r>
    </w:p>
    <w:p w14:paraId="309F87B1" w14:textId="45842CFB" w:rsidR="00985108" w:rsidRDefault="009E37BA" w:rsidP="008D4334">
      <w:pPr>
        <w:pStyle w:val="Heading2"/>
        <w:numPr>
          <w:ilvl w:val="0"/>
          <w:numId w:val="10"/>
        </w:numPr>
        <w:spacing w:line="240" w:lineRule="auto"/>
        <w:rPr>
          <w:rFonts w:ascii="Arial" w:hAnsi="Arial" w:cs="Arial"/>
        </w:rPr>
      </w:pPr>
      <w:r w:rsidRPr="00DF1384">
        <w:rPr>
          <w:rFonts w:ascii="Arial" w:hAnsi="Arial" w:cs="Arial"/>
        </w:rPr>
        <w:t>Current state of the field</w:t>
      </w:r>
    </w:p>
    <w:p w14:paraId="785AD2D2" w14:textId="77777777" w:rsidR="00A67549" w:rsidRPr="00A67549" w:rsidRDefault="00A67549" w:rsidP="008D4334">
      <w:pPr>
        <w:spacing w:line="240" w:lineRule="auto"/>
      </w:pPr>
    </w:p>
    <w:p w14:paraId="73255C9A" w14:textId="77777777" w:rsidR="00985108" w:rsidRPr="00DF1384" w:rsidRDefault="009E37BA" w:rsidP="008D4334">
      <w:pPr>
        <w:spacing w:line="240" w:lineRule="auto"/>
        <w:ind w:left="1080"/>
        <w:rPr>
          <w:rFonts w:ascii="Arial" w:hAnsi="Arial" w:cs="Arial"/>
        </w:rPr>
      </w:pPr>
      <w:r w:rsidRPr="00DF1384">
        <w:rPr>
          <w:rFonts w:ascii="Arial" w:hAnsi="Arial" w:cs="Arial"/>
        </w:rPr>
        <w:t>The field has reached a more mature stage than simple use of nighttime lights as disaster proxy. There is now strong evidence that NTL can detect disaster-related disruption and recovery, especially where events affect electricity and nighttime activity. There is also strong evidence that naive interpretation is risky. Recent studies emphasize counterfactual baselines, daily time-series modelling, fine spatial heterogeneity, preprocessing sensitivity, VZA and angular correction, cloud masking, data holes, and validation with non-EO sources.</w:t>
      </w:r>
    </w:p>
    <w:p w14:paraId="7B5E6ED6" w14:textId="77777777" w:rsidR="00985108" w:rsidRPr="00DF1384" w:rsidRDefault="009E37BA" w:rsidP="008D4334">
      <w:pPr>
        <w:spacing w:line="240" w:lineRule="auto"/>
        <w:ind w:left="1080"/>
        <w:rPr>
          <w:rFonts w:ascii="Arial" w:hAnsi="Arial" w:cs="Arial"/>
        </w:rPr>
      </w:pPr>
      <w:r w:rsidRPr="00DF1384">
        <w:rPr>
          <w:rFonts w:ascii="Arial" w:hAnsi="Arial" w:cs="Arial"/>
        </w:rPr>
        <w:t xml:space="preserve">This creates a sharper research gap. The question is no longer whether NTL can be used for disaster research. The question is under what observational, spatial, and contextual conditions daily NTL can support defensible recovery interpretation. Most high-performing recent examples </w:t>
      </w:r>
      <w:proofErr w:type="gramStart"/>
      <w:r w:rsidRPr="00DF1384">
        <w:rPr>
          <w:rFonts w:ascii="Arial" w:hAnsi="Arial" w:cs="Arial"/>
        </w:rPr>
        <w:t>are located in</w:t>
      </w:r>
      <w:proofErr w:type="gramEnd"/>
      <w:r w:rsidRPr="00DF1384">
        <w:rPr>
          <w:rFonts w:ascii="Arial" w:hAnsi="Arial" w:cs="Arial"/>
        </w:rPr>
        <w:t xml:space="preserve"> contexts with stronger data availability, better administrative records, or clearer validation pathways. Cloud-impacted tropical regions remain more difficult because valid observations are intermittent, weather and hazard regimes coincide, and settlement morphology is highly heterogeneous.</w:t>
      </w:r>
    </w:p>
    <w:p w14:paraId="70CF0159" w14:textId="2B2E046B" w:rsidR="00985108" w:rsidRPr="00DF1384" w:rsidRDefault="009E37BA" w:rsidP="008D4334">
      <w:pPr>
        <w:pStyle w:val="Heading2"/>
        <w:numPr>
          <w:ilvl w:val="0"/>
          <w:numId w:val="10"/>
        </w:numPr>
        <w:spacing w:line="240" w:lineRule="auto"/>
        <w:rPr>
          <w:rFonts w:ascii="Arial" w:hAnsi="Arial" w:cs="Arial"/>
        </w:rPr>
      </w:pPr>
      <w:r w:rsidRPr="00DF1384">
        <w:rPr>
          <w:rFonts w:ascii="Arial" w:hAnsi="Arial" w:cs="Arial"/>
        </w:rPr>
        <w:t>Premise for a cloud-impacted tropical NTL recovery study</w:t>
      </w:r>
    </w:p>
    <w:p w14:paraId="02E72E4E" w14:textId="77777777" w:rsidR="004E5F3C" w:rsidRDefault="004E5F3C" w:rsidP="008D4334">
      <w:pPr>
        <w:spacing w:line="240" w:lineRule="auto"/>
        <w:ind w:left="1080"/>
        <w:rPr>
          <w:rFonts w:ascii="Arial" w:hAnsi="Arial" w:cs="Arial"/>
        </w:rPr>
      </w:pPr>
    </w:p>
    <w:p w14:paraId="5073AC0A" w14:textId="559CFEC8" w:rsidR="00985108" w:rsidRPr="00DF1384" w:rsidRDefault="009E37BA" w:rsidP="008D4334">
      <w:pPr>
        <w:spacing w:line="240" w:lineRule="auto"/>
        <w:ind w:left="1080"/>
        <w:rPr>
          <w:rFonts w:ascii="Arial" w:hAnsi="Arial" w:cs="Arial"/>
        </w:rPr>
      </w:pPr>
      <w:r w:rsidRPr="00DF1384">
        <w:rPr>
          <w:rFonts w:ascii="Arial" w:hAnsi="Arial" w:cs="Arial"/>
        </w:rPr>
        <w:t>A disaster-oriented NTL study in the tropics should therefore begin with observability rather than recovery metrics. The first question is whether the satellite saw the ground-light signal with sufficient frequency and quality. The second question is whether the observed signal is interpretable after accounting for cloud contamination, missingness, VZA, angular effects, settlement type, and background temporal variability. Only after those questions are addressed should impact magnitude, recovery duration, recovery slope, or stability be estimated.</w:t>
      </w:r>
    </w:p>
    <w:p w14:paraId="009BED74" w14:textId="77777777" w:rsidR="00985108" w:rsidRDefault="009E37BA" w:rsidP="008D4334">
      <w:pPr>
        <w:spacing w:line="240" w:lineRule="auto"/>
        <w:ind w:left="1080"/>
        <w:rPr>
          <w:rFonts w:ascii="Arial" w:hAnsi="Arial" w:cs="Arial"/>
        </w:rPr>
      </w:pPr>
      <w:r w:rsidRPr="00DF1384">
        <w:rPr>
          <w:rFonts w:ascii="Arial" w:hAnsi="Arial" w:cs="Arial"/>
        </w:rPr>
        <w:t xml:space="preserve">The literature supports an emerging reliability-qualified approach, but it should be framed as a methodological hypothesis to be tested rather than as a settled assumption. Daily VIIRS Black Marble provides the product foundation; </w:t>
      </w:r>
      <w:proofErr w:type="spellStart"/>
      <w:r w:rsidRPr="00DF1384">
        <w:rPr>
          <w:rFonts w:ascii="Arial" w:hAnsi="Arial" w:cs="Arial"/>
        </w:rPr>
        <w:t>Ghaffarian</w:t>
      </w:r>
      <w:proofErr w:type="spellEnd"/>
      <w:r w:rsidRPr="00DF1384">
        <w:rPr>
          <w:rFonts w:ascii="Arial" w:hAnsi="Arial" w:cs="Arial"/>
        </w:rPr>
        <w:t>-style proxy theory provides the disaster-recovery framing; recent Black Marble studies provide the time-series and counterfactual methods; Levin, Hung, Pei, Tong, and Zheng provide the sensor-geometry and observability cautions; and electricity-validation studies provide the functional interpretation pathway. The resulting premise is concise: nighttime lights can contribute to post-disaster impact and recovery assessment, but in cloud-impacted tropical regions, observability must be established before interpretability, and interpretability must be established before recovery claims.</w:t>
      </w:r>
    </w:p>
    <w:p w14:paraId="13A4F54C" w14:textId="541DE8D8" w:rsidR="008B0937" w:rsidRPr="00C07306" w:rsidRDefault="008B0937" w:rsidP="008D4334">
      <w:pPr>
        <w:pStyle w:val="Heading2"/>
        <w:numPr>
          <w:ilvl w:val="0"/>
          <w:numId w:val="10"/>
        </w:numPr>
        <w:spacing w:line="240" w:lineRule="auto"/>
        <w:rPr>
          <w:rFonts w:ascii="Arial" w:hAnsi="Arial" w:cs="Arial"/>
        </w:rPr>
      </w:pPr>
      <w:r w:rsidRPr="00C07306">
        <w:rPr>
          <w:rFonts w:ascii="Arial" w:hAnsi="Arial" w:cs="Arial"/>
        </w:rPr>
        <w:t>Philippine disaster-risk framing and the need for indirect recovery evidence</w:t>
      </w:r>
    </w:p>
    <w:p w14:paraId="699EBC9A" w14:textId="77777777" w:rsidR="00C07306" w:rsidRDefault="00C07306" w:rsidP="008D4334">
      <w:pPr>
        <w:spacing w:line="240" w:lineRule="auto"/>
        <w:rPr>
          <w:rFonts w:ascii="Arial" w:hAnsi="Arial" w:cs="Arial"/>
        </w:rPr>
      </w:pPr>
    </w:p>
    <w:p w14:paraId="3A630F2B" w14:textId="1A7A8721" w:rsidR="008B0937" w:rsidRPr="00C07306" w:rsidRDefault="008B0937" w:rsidP="008D4334">
      <w:pPr>
        <w:spacing w:line="240" w:lineRule="auto"/>
        <w:ind w:left="1080"/>
        <w:rPr>
          <w:rFonts w:ascii="Arial" w:hAnsi="Arial" w:cs="Arial"/>
        </w:rPr>
      </w:pPr>
      <w:r w:rsidRPr="00C07306">
        <w:rPr>
          <w:rFonts w:ascii="Arial" w:hAnsi="Arial" w:cs="Arial"/>
        </w:rPr>
        <w:t xml:space="preserve">The Philippine literature adds an important geographic and institutional layer to the broader NTL disaster field. The country combines repeated tropical-cyclone exposure, dense coastal settlement, archipelagic electricity systems, and uneven local government and utility reporting </w:t>
      </w:r>
      <w:r w:rsidRPr="00C07306">
        <w:rPr>
          <w:rFonts w:ascii="Arial" w:hAnsi="Arial" w:cs="Arial"/>
        </w:rPr>
        <w:lastRenderedPageBreak/>
        <w:t>capacity. This context makes post-disaster recovery difficult to observe through conventional administrative data alone. Official reports may provide aggregate restoration milestones, housing counts, or relief statistics, but they often do not resolve local variation in electricity access, settlement function, or long-term recovery trajectories.</w:t>
      </w:r>
    </w:p>
    <w:p w14:paraId="0549C50F" w14:textId="28998C9B" w:rsidR="008B0937" w:rsidRPr="00C07306" w:rsidRDefault="008B0937" w:rsidP="008D4334">
      <w:pPr>
        <w:spacing w:line="240" w:lineRule="auto"/>
        <w:ind w:left="1080"/>
        <w:rPr>
          <w:rFonts w:ascii="Arial" w:hAnsi="Arial" w:cs="Arial"/>
        </w:rPr>
      </w:pPr>
      <w:r w:rsidRPr="00C07306">
        <w:rPr>
          <w:rFonts w:ascii="Arial" w:hAnsi="Arial" w:cs="Arial"/>
        </w:rPr>
        <w:t>In the Yolanda case, daily Black Marble time series were used to map outage intensity and restoration duration. In the resettlement case, long NTL trajectories were used to track the emergence and progression of relocation sites. These studies show the practical appeal of NTL in a setting where field surveys are costly, administrative records are fragmented, and recovery outcomes vary across localities</w:t>
      </w:r>
      <w:r w:rsidR="00CB6BC1">
        <w:rPr>
          <w:rFonts w:ascii="Arial" w:hAnsi="Arial" w:cs="Arial"/>
        </w:rPr>
        <w:t xml:space="preserve"> (Principe et al, 2022, Principe et al, 2023)</w:t>
      </w:r>
      <w:r w:rsidRPr="00C07306">
        <w:rPr>
          <w:rFonts w:ascii="Arial" w:hAnsi="Arial" w:cs="Arial"/>
        </w:rPr>
        <w:t>.</w:t>
      </w:r>
    </w:p>
    <w:p w14:paraId="7A197B28" w14:textId="2CD4FD0C" w:rsidR="008B0937" w:rsidRPr="00C07306" w:rsidRDefault="008B0937" w:rsidP="008D4334">
      <w:pPr>
        <w:spacing w:line="240" w:lineRule="auto"/>
        <w:ind w:left="1080"/>
        <w:rPr>
          <w:rFonts w:ascii="Arial" w:hAnsi="Arial" w:cs="Arial"/>
        </w:rPr>
      </w:pPr>
      <w:r w:rsidRPr="00C07306">
        <w:rPr>
          <w:rFonts w:ascii="Arial" w:hAnsi="Arial" w:cs="Arial"/>
        </w:rPr>
        <w:t xml:space="preserve">However, the same setting also exposes the limits of direct radiance interpretation. The Philippines is persistently cloud-affected, especially during wet seasons and tropical-cyclone periods. It also has heterogeneous settlement morphology, with dense urban cores, coastal towns, peri-urban relocation sites, rural barangays, and dispersed island communities. This means that NTL availability, stability, and meaning can vary sharply across space. </w:t>
      </w:r>
      <w:r w:rsidR="007972E9">
        <w:rPr>
          <w:rFonts w:ascii="Arial" w:hAnsi="Arial" w:cs="Arial"/>
        </w:rPr>
        <w:t xml:space="preserve">Hence, </w:t>
      </w:r>
      <w:r w:rsidRPr="00C07306">
        <w:rPr>
          <w:rFonts w:ascii="Arial" w:hAnsi="Arial" w:cs="Arial"/>
        </w:rPr>
        <w:t>NTL</w:t>
      </w:r>
      <w:r w:rsidR="007972E9">
        <w:rPr>
          <w:rFonts w:ascii="Arial" w:hAnsi="Arial" w:cs="Arial"/>
        </w:rPr>
        <w:t xml:space="preserve"> should be treated</w:t>
      </w:r>
      <w:r w:rsidRPr="00C07306">
        <w:rPr>
          <w:rFonts w:ascii="Arial" w:hAnsi="Arial" w:cs="Arial"/>
        </w:rPr>
        <w:t xml:space="preserve"> not only as a proxy for activity but as a signal whose evidentiary value depends on observation conditions</w:t>
      </w:r>
      <w:r w:rsidR="007972E9">
        <w:rPr>
          <w:rFonts w:ascii="Arial" w:hAnsi="Arial" w:cs="Arial"/>
        </w:rPr>
        <w:t>, which is the primary premise of RQ1.</w:t>
      </w:r>
    </w:p>
    <w:p w14:paraId="3E969BE7" w14:textId="69D6E6A1" w:rsidR="008B0937" w:rsidRPr="00C07306" w:rsidRDefault="008B0937" w:rsidP="008D4334">
      <w:pPr>
        <w:pStyle w:val="Heading2"/>
        <w:numPr>
          <w:ilvl w:val="0"/>
          <w:numId w:val="10"/>
        </w:numPr>
        <w:spacing w:line="240" w:lineRule="auto"/>
        <w:rPr>
          <w:rFonts w:ascii="Arial" w:hAnsi="Arial" w:cs="Arial"/>
        </w:rPr>
      </w:pPr>
      <w:r w:rsidRPr="00C07306">
        <w:rPr>
          <w:rFonts w:ascii="Arial" w:hAnsi="Arial" w:cs="Arial"/>
        </w:rPr>
        <w:t>From post-disaster proxy frameworks to nighttime-light proxy specialization</w:t>
      </w:r>
    </w:p>
    <w:p w14:paraId="722EAC1F" w14:textId="77777777" w:rsidR="007972E9" w:rsidRDefault="007972E9" w:rsidP="008D4334">
      <w:pPr>
        <w:spacing w:line="240" w:lineRule="auto"/>
        <w:ind w:left="1080"/>
        <w:rPr>
          <w:rFonts w:ascii="Arial" w:hAnsi="Arial" w:cs="Arial"/>
        </w:rPr>
      </w:pPr>
    </w:p>
    <w:p w14:paraId="32E7B5D3" w14:textId="11868F28" w:rsidR="008B0937" w:rsidRPr="00C07306" w:rsidRDefault="008B0937" w:rsidP="008D4334">
      <w:pPr>
        <w:spacing w:line="240" w:lineRule="auto"/>
        <w:ind w:left="1080"/>
        <w:rPr>
          <w:rFonts w:ascii="Arial" w:hAnsi="Arial" w:cs="Arial"/>
        </w:rPr>
      </w:pPr>
      <w:proofErr w:type="spellStart"/>
      <w:r w:rsidRPr="00C07306">
        <w:rPr>
          <w:rFonts w:ascii="Arial" w:hAnsi="Arial" w:cs="Arial"/>
        </w:rPr>
        <w:t>Ghaffarian's</w:t>
      </w:r>
      <w:proofErr w:type="spellEnd"/>
      <w:r w:rsidRPr="00C07306">
        <w:rPr>
          <w:rFonts w:ascii="Arial" w:hAnsi="Arial" w:cs="Arial"/>
        </w:rPr>
        <w:t xml:space="preserve"> thesis provides the conceptual architecture for this transition. The broader recovery literature begins by asking what can be observed after a disaster: damaged buildings, debris, roads, vegetation, informal settlements, vehicles, boats, industry, and land-use transitions. These indicators are valuable because they map visible recovery proxies. Yet they also show why functional recovery remains difficult: physical reconstruction, economic activity, service restoration, and social recovery do not necessarily move together.</w:t>
      </w:r>
    </w:p>
    <w:p w14:paraId="7E372F5F" w14:textId="77777777" w:rsidR="008B0937" w:rsidRPr="00C07306" w:rsidRDefault="008B0937" w:rsidP="008D4334">
      <w:pPr>
        <w:spacing w:line="240" w:lineRule="auto"/>
        <w:ind w:left="1080"/>
        <w:rPr>
          <w:rFonts w:ascii="Arial" w:hAnsi="Arial" w:cs="Arial"/>
        </w:rPr>
      </w:pPr>
      <w:r w:rsidRPr="00C07306">
        <w:rPr>
          <w:rFonts w:ascii="Arial" w:hAnsi="Arial" w:cs="Arial"/>
        </w:rPr>
        <w:t>Nighttime lights enter this literature as a specialized functional proxy. Unlike optical damage mapping, NTL does not describe wall failure, roof loss, debris, or land-cover class. Instead, it reflects nocturnal radiance associated with electrified activity and human presence. This makes NTL most useful where the research question involves service disruption, electricity access, human activity intensity, or long-term settlement emergence. It also means that NTL is weaker for claims about housing adequacy, tenure security, livelihood quality, social cohesion, or whether relocation reduced future risk.</w:t>
      </w:r>
    </w:p>
    <w:p w14:paraId="262159E8" w14:textId="6DD3C35F" w:rsidR="008B0937" w:rsidRPr="00C07306" w:rsidRDefault="008B0937" w:rsidP="008D4334">
      <w:pPr>
        <w:spacing w:line="240" w:lineRule="auto"/>
        <w:ind w:left="1080"/>
        <w:rPr>
          <w:rFonts w:ascii="Arial" w:hAnsi="Arial" w:cs="Arial"/>
        </w:rPr>
      </w:pPr>
      <w:r w:rsidRPr="00C07306">
        <w:rPr>
          <w:rFonts w:ascii="Arial" w:hAnsi="Arial" w:cs="Arial"/>
        </w:rPr>
        <w:t xml:space="preserve">The reviewed literature therefore suggests a division of labor between proxy families. Very-high-resolution optical imagery is strongest for physical reconstruction and land-use change; SAR and optical hazard mapping are stronger for flood extent, landslide disturbance, or damaged land surfaces; NTL is stronger for functional disruption and activity restoration; survey and administrative data remain essential for household welfare, governance, and lived recovery. </w:t>
      </w:r>
      <w:r w:rsidR="00ED1DD0">
        <w:rPr>
          <w:rFonts w:ascii="Arial" w:hAnsi="Arial" w:cs="Arial"/>
        </w:rPr>
        <w:t>This is where</w:t>
      </w:r>
      <w:r w:rsidRPr="00C07306">
        <w:rPr>
          <w:rFonts w:ascii="Arial" w:hAnsi="Arial" w:cs="Arial"/>
        </w:rPr>
        <w:t xml:space="preserve"> NTL fills a particular gap without overclaiming recovery in full.</w:t>
      </w:r>
    </w:p>
    <w:p w14:paraId="6882DFA3" w14:textId="4ABACD52" w:rsidR="008B0937" w:rsidRPr="00C07306" w:rsidRDefault="008B0937" w:rsidP="008D4334">
      <w:pPr>
        <w:pStyle w:val="Heading2"/>
        <w:numPr>
          <w:ilvl w:val="0"/>
          <w:numId w:val="10"/>
        </w:numPr>
        <w:spacing w:line="240" w:lineRule="auto"/>
        <w:rPr>
          <w:rFonts w:ascii="Arial" w:hAnsi="Arial" w:cs="Arial"/>
        </w:rPr>
      </w:pPr>
      <w:r w:rsidRPr="00C07306">
        <w:rPr>
          <w:rFonts w:ascii="Arial" w:hAnsi="Arial" w:cs="Arial"/>
        </w:rPr>
        <w:t>The evolution from DMSP economic proxies to daily Black Marble recovery metrics</w:t>
      </w:r>
    </w:p>
    <w:p w14:paraId="68EDA496" w14:textId="77777777" w:rsidR="00ED1DD0" w:rsidRDefault="00ED1DD0" w:rsidP="008D4334">
      <w:pPr>
        <w:spacing w:line="240" w:lineRule="auto"/>
        <w:ind w:left="1080"/>
        <w:rPr>
          <w:rFonts w:ascii="Arial" w:hAnsi="Arial" w:cs="Arial"/>
        </w:rPr>
      </w:pPr>
    </w:p>
    <w:p w14:paraId="7FCA5F8E" w14:textId="1F10F758" w:rsidR="008B0937" w:rsidRPr="00C07306" w:rsidRDefault="008B0937" w:rsidP="008D4334">
      <w:pPr>
        <w:spacing w:line="240" w:lineRule="auto"/>
        <w:ind w:left="1080"/>
        <w:rPr>
          <w:rFonts w:ascii="Arial" w:hAnsi="Arial" w:cs="Arial"/>
        </w:rPr>
      </w:pPr>
      <w:r w:rsidRPr="00C07306">
        <w:rPr>
          <w:rFonts w:ascii="Arial" w:hAnsi="Arial" w:cs="Arial"/>
        </w:rPr>
        <w:t>The literature moves through a clear methodological progression. Early DMSP-OLS studies established that artificial lights could map human settlement, economic activity, urban extent, and long-run development. These studies were important because they made NTL legitimate as a socioeconomic proxy, especially in regions with weak statistical systems. Yet DMSP-OLS had coarse spatial resolution, limited radiometric precision, saturation, blooming, and annual compositing, which made it poorly suited for short post-disaster recovery analysis.</w:t>
      </w:r>
    </w:p>
    <w:p w14:paraId="11C0C7A5" w14:textId="77777777" w:rsidR="008B0937" w:rsidRPr="00C07306" w:rsidRDefault="008B0937" w:rsidP="008D4334">
      <w:pPr>
        <w:spacing w:line="240" w:lineRule="auto"/>
        <w:ind w:left="1080"/>
        <w:rPr>
          <w:rFonts w:ascii="Arial" w:hAnsi="Arial" w:cs="Arial"/>
        </w:rPr>
      </w:pPr>
      <w:r w:rsidRPr="00C07306">
        <w:rPr>
          <w:rFonts w:ascii="Arial" w:hAnsi="Arial" w:cs="Arial"/>
        </w:rPr>
        <w:t xml:space="preserve">VIIRS-DNB improved radiometric sensitivity and spatial detail, while Black Marble added daily products, physical corrections, and quality information. This changed the disaster question from whether lights could broadly indicate impact to whether daily radiance could track impact timing, outage duration, and recovery trajectory. Studies on Puerto Rico, Türkiye, Ukraine, </w:t>
      </w:r>
      <w:r w:rsidRPr="00C07306">
        <w:rPr>
          <w:rFonts w:ascii="Arial" w:hAnsi="Arial" w:cs="Arial"/>
        </w:rPr>
        <w:lastRenderedPageBreak/>
        <w:t>Southeast Asian hazards, and global tropical cyclone recovery show how VIIRS and Black Marble enabled event-window analysis that DMSP could not support.</w:t>
      </w:r>
    </w:p>
    <w:p w14:paraId="2BB7BE90" w14:textId="77777777" w:rsidR="008B0937" w:rsidRPr="00C07306" w:rsidRDefault="008B0937" w:rsidP="008D4334">
      <w:pPr>
        <w:spacing w:line="240" w:lineRule="auto"/>
        <w:ind w:left="1080"/>
        <w:rPr>
          <w:rFonts w:ascii="Arial" w:hAnsi="Arial" w:cs="Arial"/>
        </w:rPr>
      </w:pPr>
      <w:r w:rsidRPr="00C07306">
        <w:rPr>
          <w:rFonts w:ascii="Arial" w:hAnsi="Arial" w:cs="Arial"/>
        </w:rPr>
        <w:t>Recent methods further sharpen this progression. Instead of comparing a single pre-event and post-event image, newer studies use time-series decomposition, anomaly detection, BEAST, adaptive forecasting, synthetic control, and clustering. These methods reflect a conceptual shift: recovery is no longer treated as a simple return to one pre-event average but as a trajectory relative to expected behavior, uncertainty, and spatial context.</w:t>
      </w:r>
    </w:p>
    <w:p w14:paraId="431667F0" w14:textId="0AA0E014" w:rsidR="008B0937" w:rsidRPr="00C07306" w:rsidRDefault="008B0937" w:rsidP="008D4334">
      <w:pPr>
        <w:pStyle w:val="Heading2"/>
        <w:numPr>
          <w:ilvl w:val="0"/>
          <w:numId w:val="10"/>
        </w:numPr>
        <w:spacing w:line="240" w:lineRule="auto"/>
        <w:rPr>
          <w:rFonts w:ascii="Arial" w:hAnsi="Arial" w:cs="Arial"/>
        </w:rPr>
      </w:pPr>
      <w:r w:rsidRPr="00C07306">
        <w:rPr>
          <w:rFonts w:ascii="Arial" w:hAnsi="Arial" w:cs="Arial"/>
        </w:rPr>
        <w:t>Clouds, gap filling, and the distinction between completeness and observation</w:t>
      </w:r>
    </w:p>
    <w:p w14:paraId="1577E7D9" w14:textId="77777777" w:rsidR="005055CB" w:rsidRDefault="005055CB" w:rsidP="008D4334">
      <w:pPr>
        <w:spacing w:line="240" w:lineRule="auto"/>
        <w:ind w:left="1080"/>
        <w:rPr>
          <w:rFonts w:ascii="Arial" w:hAnsi="Arial" w:cs="Arial"/>
        </w:rPr>
      </w:pPr>
    </w:p>
    <w:p w14:paraId="4D9E42EB" w14:textId="10B89D51" w:rsidR="008B0937" w:rsidRPr="00C07306" w:rsidRDefault="008B0937" w:rsidP="008D4334">
      <w:pPr>
        <w:spacing w:line="240" w:lineRule="auto"/>
        <w:ind w:left="1080"/>
        <w:rPr>
          <w:rFonts w:ascii="Arial" w:hAnsi="Arial" w:cs="Arial"/>
        </w:rPr>
      </w:pPr>
      <w:r w:rsidRPr="00C07306">
        <w:rPr>
          <w:rFonts w:ascii="Arial" w:hAnsi="Arial" w:cs="Arial"/>
        </w:rPr>
        <w:t xml:space="preserve">The most important methodological issue for tropical daily NTL is the distinction between temporal completeness and actual observation. Black Marble gap-filled layers can provide a daily value even when the ground was not directly observed, but such values do not increase observability. Reconstruction and gap-filling methods such as CRYSTAL and other daily Black Marble gap-filling frameworks are useful for producing continuous records, but they answer a different question from whether the satellite </w:t>
      </w:r>
      <w:proofErr w:type="gramStart"/>
      <w:r w:rsidRPr="00C07306">
        <w:rPr>
          <w:rFonts w:ascii="Arial" w:hAnsi="Arial" w:cs="Arial"/>
        </w:rPr>
        <w:t>actually observed</w:t>
      </w:r>
      <w:proofErr w:type="gramEnd"/>
      <w:r w:rsidRPr="00C07306">
        <w:rPr>
          <w:rFonts w:ascii="Arial" w:hAnsi="Arial" w:cs="Arial"/>
        </w:rPr>
        <w:t xml:space="preserve"> the ground on a given date.</w:t>
      </w:r>
    </w:p>
    <w:p w14:paraId="4B7A1E51" w14:textId="77777777" w:rsidR="008B0937" w:rsidRPr="00C07306" w:rsidRDefault="008B0937" w:rsidP="008D4334">
      <w:pPr>
        <w:spacing w:line="240" w:lineRule="auto"/>
        <w:ind w:left="1080"/>
        <w:rPr>
          <w:rFonts w:ascii="Arial" w:hAnsi="Arial" w:cs="Arial"/>
        </w:rPr>
      </w:pPr>
      <w:r w:rsidRPr="00C07306">
        <w:rPr>
          <w:rFonts w:ascii="Arial" w:hAnsi="Arial" w:cs="Arial"/>
        </w:rPr>
        <w:t>This distinction matters in disaster recovery because event timing can be short, abrupt, and spatially uneven. If a typhoon causes outages during a cloudy period, a gap-filled value may propagate earlier conditions into the disaster window or smooth the apparent shock. Conversely, if only a few clear-sky observations survive quality filtering, a measured decline may be real but too sparsely sampled to support precise claims about timing or recovery duration. The RQ1 framework directly addresses this by treating spatial completeness, temporal completeness, dropout duration, and radiance stability as primary diagnostics.</w:t>
      </w:r>
    </w:p>
    <w:p w14:paraId="26E9E750" w14:textId="77777777" w:rsidR="008B0937" w:rsidRPr="00C07306" w:rsidRDefault="008B0937" w:rsidP="008D4334">
      <w:pPr>
        <w:spacing w:line="240" w:lineRule="auto"/>
        <w:ind w:left="1080"/>
        <w:rPr>
          <w:rFonts w:ascii="Arial" w:hAnsi="Arial" w:cs="Arial"/>
        </w:rPr>
      </w:pPr>
      <w:r w:rsidRPr="00C07306">
        <w:rPr>
          <w:rFonts w:ascii="Arial" w:hAnsi="Arial" w:cs="Arial"/>
        </w:rPr>
        <w:t>The literature therefore supports a hierarchy of evidence for daily NTL. Direct, high-quality DNB-BRDF observations with adequate valid-pixel support provide stronger evidence than temporally propagated or reconstructed values. Gap-filled or reconstructed products may be useful for comparison, visualization, or longer-term pattern analysis, but disaster recovery metrics should document whether they are based on direct observations or inferred continuity.</w:t>
      </w:r>
    </w:p>
    <w:p w14:paraId="765BB263" w14:textId="12FAD47A" w:rsidR="008B0937" w:rsidRPr="00C07306" w:rsidRDefault="008B0937" w:rsidP="008D4334">
      <w:pPr>
        <w:pStyle w:val="Heading2"/>
        <w:numPr>
          <w:ilvl w:val="0"/>
          <w:numId w:val="10"/>
        </w:numPr>
        <w:spacing w:line="240" w:lineRule="auto"/>
        <w:rPr>
          <w:rFonts w:ascii="Arial" w:hAnsi="Arial" w:cs="Arial"/>
        </w:rPr>
      </w:pPr>
      <w:r w:rsidRPr="00C07306">
        <w:rPr>
          <w:rFonts w:ascii="Arial" w:hAnsi="Arial" w:cs="Arial"/>
        </w:rPr>
        <w:t>Viewing geometry, anisotropy, and spectral interpretation</w:t>
      </w:r>
    </w:p>
    <w:p w14:paraId="0366753C" w14:textId="77777777" w:rsidR="00906357" w:rsidRDefault="00906357" w:rsidP="008D4334">
      <w:pPr>
        <w:spacing w:line="240" w:lineRule="auto"/>
        <w:ind w:left="1080"/>
        <w:rPr>
          <w:rFonts w:ascii="Arial" w:hAnsi="Arial" w:cs="Arial"/>
        </w:rPr>
      </w:pPr>
    </w:p>
    <w:p w14:paraId="36D7875C" w14:textId="6EC1299E" w:rsidR="008B0937" w:rsidRPr="00C07306" w:rsidRDefault="008B0937" w:rsidP="008D4334">
      <w:pPr>
        <w:spacing w:line="240" w:lineRule="auto"/>
        <w:ind w:left="1080"/>
        <w:rPr>
          <w:rFonts w:ascii="Arial" w:hAnsi="Arial" w:cs="Arial"/>
        </w:rPr>
      </w:pPr>
      <w:r w:rsidRPr="00C07306">
        <w:rPr>
          <w:rFonts w:ascii="Arial" w:hAnsi="Arial" w:cs="Arial"/>
        </w:rPr>
        <w:t>The literature on viewing geometry and anisotropy prevents a simplistic reading of NTL as direct brightness. Artificial light is emitted from buildings, roads, fixtures, vehicles, and open spaces with strong directional patterns. Urban canyons, shielding, roofing, land use, and street orientation affect the amount of light visible from different satellite view angles. Li et al. (2019), Tong (2025), Wang et al. (2021), and related studies show that view zenith angle and angular emission functions can influence daily radiance independently of actual activity change.</w:t>
      </w:r>
    </w:p>
    <w:p w14:paraId="0570B6F5" w14:textId="77777777" w:rsidR="008B0937" w:rsidRPr="00C07306" w:rsidRDefault="008B0937" w:rsidP="008D4334">
      <w:pPr>
        <w:spacing w:line="240" w:lineRule="auto"/>
        <w:ind w:left="1080"/>
        <w:rPr>
          <w:rFonts w:ascii="Arial" w:hAnsi="Arial" w:cs="Arial"/>
        </w:rPr>
      </w:pPr>
      <w:r w:rsidRPr="00C07306">
        <w:rPr>
          <w:rFonts w:ascii="Arial" w:hAnsi="Arial" w:cs="Arial"/>
        </w:rPr>
        <w:t>Spectral limitations add another layer. VIIRS-DNB is panchromatic but relatively insensitive to some blue-rich emissions associated with LED transitions. Hung et al. (2021) show that ground-observed skyglow and VIIRS upward radiance can diverge after lighting retrofits. For disaster studies, this means that radiance recovery cannot be assumed to equal total lighting recovery or human-experienced brightness. Changes in lighting technology, fixture shielding, and emission direction can alter observed radiance even when electricity and activity change differently.</w:t>
      </w:r>
    </w:p>
    <w:p w14:paraId="50278302" w14:textId="77777777" w:rsidR="008B0937" w:rsidRPr="00C07306" w:rsidRDefault="008B0937" w:rsidP="008D4334">
      <w:pPr>
        <w:spacing w:line="240" w:lineRule="auto"/>
        <w:ind w:left="1080"/>
        <w:rPr>
          <w:rFonts w:ascii="Arial" w:hAnsi="Arial" w:cs="Arial"/>
        </w:rPr>
      </w:pPr>
      <w:r w:rsidRPr="00C07306">
        <w:rPr>
          <w:rFonts w:ascii="Arial" w:hAnsi="Arial" w:cs="Arial"/>
        </w:rPr>
        <w:t>For Philippine disaster studies, these issues matter because settlement morphology varies strongly among urban centers, municipalities, coastal roads, resettlement sites, and rural communities. If post-event observations have different viewing-angle distributions from pre-event baselines, apparent recovery differences may partly reflect geometry. This strengthens the case for storing VZA diagnostics, testing angular sensitivity, and using settlement stratification when interpreting daily DNB-BRDF values.</w:t>
      </w:r>
    </w:p>
    <w:p w14:paraId="16D9D1CD" w14:textId="1C1EFCE0" w:rsidR="008B0937" w:rsidRPr="00C07306" w:rsidRDefault="008B0937" w:rsidP="008D4334">
      <w:pPr>
        <w:pStyle w:val="Heading2"/>
        <w:numPr>
          <w:ilvl w:val="0"/>
          <w:numId w:val="10"/>
        </w:numPr>
        <w:spacing w:line="240" w:lineRule="auto"/>
        <w:rPr>
          <w:rFonts w:ascii="Arial" w:hAnsi="Arial" w:cs="Arial"/>
        </w:rPr>
      </w:pPr>
      <w:r w:rsidRPr="00C07306">
        <w:rPr>
          <w:rFonts w:ascii="Arial" w:hAnsi="Arial" w:cs="Arial"/>
        </w:rPr>
        <w:lastRenderedPageBreak/>
        <w:t>Settlement heterogeneity and why GHSL belongs in the RRL</w:t>
      </w:r>
    </w:p>
    <w:p w14:paraId="3B21B153" w14:textId="77777777" w:rsidR="00A7332D" w:rsidRDefault="00A7332D" w:rsidP="008D4334">
      <w:pPr>
        <w:spacing w:line="240" w:lineRule="auto"/>
        <w:ind w:left="1080"/>
        <w:rPr>
          <w:rFonts w:ascii="Arial" w:hAnsi="Arial" w:cs="Arial"/>
        </w:rPr>
      </w:pPr>
    </w:p>
    <w:p w14:paraId="3D52526E" w14:textId="1BF257DE" w:rsidR="008B0937" w:rsidRPr="00C07306" w:rsidRDefault="008B0937" w:rsidP="008D4334">
      <w:pPr>
        <w:spacing w:line="240" w:lineRule="auto"/>
        <w:ind w:left="1080"/>
        <w:rPr>
          <w:rFonts w:ascii="Arial" w:hAnsi="Arial" w:cs="Arial"/>
        </w:rPr>
      </w:pPr>
      <w:r w:rsidRPr="00C07306">
        <w:rPr>
          <w:rFonts w:ascii="Arial" w:hAnsi="Arial" w:cs="Arial"/>
        </w:rPr>
        <w:t>Spatial scale is now one of the major debates in NTL recovery research. Pixel-level studies can reveal localized recovery heterogeneity, but they may be noisy in low-light areas. Administrative aggregation can stabilize radiance but may hide uneven recovery. Zheng et al. (2025) show that aggregated statistics can underestimate the severity and spatial inequality of hurricane recovery. Small (2021) and Martinez et al. (2023) further show that brightness and spatial scale shape the stability and interpretation of NTL.</w:t>
      </w:r>
    </w:p>
    <w:p w14:paraId="1A311F34" w14:textId="77777777" w:rsidR="008B0937" w:rsidRPr="00C07306" w:rsidRDefault="008B0937" w:rsidP="008D4334">
      <w:pPr>
        <w:spacing w:line="240" w:lineRule="auto"/>
        <w:ind w:left="1080"/>
        <w:rPr>
          <w:rFonts w:ascii="Arial" w:hAnsi="Arial" w:cs="Arial"/>
        </w:rPr>
      </w:pPr>
      <w:r w:rsidRPr="00C07306">
        <w:rPr>
          <w:rFonts w:ascii="Arial" w:hAnsi="Arial" w:cs="Arial"/>
        </w:rPr>
        <w:t>GHSL addresses this problem by providing an independent settlement morphology framework. Instead of averaging all pixels within a province or island, GHSL can separate dense urban cores, semi-dense settlements, suburban and peri-urban areas, rural clusters, and unbuilt zones. This does not solve all NTL interpretation problems, but it prevents the analysis from combining radically different lighting regimes into one average. In a Philippine disaster setting, this is essential because city centers, municipal centers, coastal settlements, and resettlement sites may have different baseline brightness, activity rhythms, and recovery mechanisms.</w:t>
      </w:r>
    </w:p>
    <w:p w14:paraId="6986CE2D" w14:textId="77777777" w:rsidR="008B0937" w:rsidRPr="00C07306" w:rsidRDefault="008B0937" w:rsidP="008D4334">
      <w:pPr>
        <w:spacing w:line="240" w:lineRule="auto"/>
        <w:ind w:left="1080"/>
        <w:rPr>
          <w:rFonts w:ascii="Arial" w:hAnsi="Arial" w:cs="Arial"/>
        </w:rPr>
      </w:pPr>
      <w:r w:rsidRPr="00C07306">
        <w:rPr>
          <w:rFonts w:ascii="Arial" w:hAnsi="Arial" w:cs="Arial"/>
        </w:rPr>
        <w:t xml:space="preserve">The reviewed literature suggests that settlement stratification should be framed not as an optional refinement but as part of proxy validity. NTL is more interpretable where there </w:t>
      </w:r>
      <w:proofErr w:type="gramStart"/>
      <w:r w:rsidRPr="00C07306">
        <w:rPr>
          <w:rFonts w:ascii="Arial" w:hAnsi="Arial" w:cs="Arial"/>
        </w:rPr>
        <w:t>is</w:t>
      </w:r>
      <w:proofErr w:type="gramEnd"/>
      <w:r w:rsidRPr="00C07306">
        <w:rPr>
          <w:rFonts w:ascii="Arial" w:hAnsi="Arial" w:cs="Arial"/>
        </w:rPr>
        <w:t xml:space="preserve"> stable anthropogenic lighting and sufficient spatial support. GHSL helps identify those areas before impact metrics are computed. This connects the physical form of settlement to the observability and interpretability of nighttime lights.</w:t>
      </w:r>
    </w:p>
    <w:p w14:paraId="73A08EB4" w14:textId="1FAD6B4D" w:rsidR="008B0937" w:rsidRPr="00C07306" w:rsidRDefault="008B0937" w:rsidP="008D4334">
      <w:pPr>
        <w:pStyle w:val="Heading2"/>
        <w:numPr>
          <w:ilvl w:val="0"/>
          <w:numId w:val="10"/>
        </w:numPr>
        <w:spacing w:line="240" w:lineRule="auto"/>
        <w:rPr>
          <w:rFonts w:ascii="Arial" w:hAnsi="Arial" w:cs="Arial"/>
        </w:rPr>
      </w:pPr>
      <w:r w:rsidRPr="00C07306">
        <w:rPr>
          <w:rFonts w:ascii="Arial" w:hAnsi="Arial" w:cs="Arial"/>
        </w:rPr>
        <w:t>Electricity validation and the difference between power restoration and activity recovery</w:t>
      </w:r>
    </w:p>
    <w:p w14:paraId="2D39B049" w14:textId="77777777" w:rsidR="000E70F3" w:rsidRDefault="000E70F3" w:rsidP="008D4334">
      <w:pPr>
        <w:spacing w:line="240" w:lineRule="auto"/>
        <w:ind w:left="1080"/>
        <w:rPr>
          <w:rFonts w:ascii="Arial" w:hAnsi="Arial" w:cs="Arial"/>
        </w:rPr>
      </w:pPr>
    </w:p>
    <w:p w14:paraId="718F80FB" w14:textId="2089BF4F" w:rsidR="008B0937" w:rsidRPr="00C07306" w:rsidRDefault="008B0937" w:rsidP="008D4334">
      <w:pPr>
        <w:spacing w:line="240" w:lineRule="auto"/>
        <w:ind w:left="1080"/>
        <w:rPr>
          <w:rFonts w:ascii="Arial" w:hAnsi="Arial" w:cs="Arial"/>
        </w:rPr>
      </w:pPr>
      <w:r w:rsidRPr="00C07306">
        <w:rPr>
          <w:rFonts w:ascii="Arial" w:hAnsi="Arial" w:cs="Arial"/>
        </w:rPr>
        <w:t xml:space="preserve">NTL is most defensible as a disaster proxy when the claimed process is </w:t>
      </w:r>
      <w:proofErr w:type="gramStart"/>
      <w:r w:rsidRPr="00C07306">
        <w:rPr>
          <w:rFonts w:ascii="Arial" w:hAnsi="Arial" w:cs="Arial"/>
        </w:rPr>
        <w:t>electricity-mediated</w:t>
      </w:r>
      <w:proofErr w:type="gramEnd"/>
      <w:r w:rsidRPr="00C07306">
        <w:rPr>
          <w:rFonts w:ascii="Arial" w:hAnsi="Arial" w:cs="Arial"/>
        </w:rPr>
        <w:t>. Román et al. (2019), Zhao et al. (2020), Wang et al. (2018), and Principe (202</w:t>
      </w:r>
      <w:r w:rsidR="00F70C13">
        <w:rPr>
          <w:rFonts w:ascii="Arial" w:hAnsi="Arial" w:cs="Arial"/>
        </w:rPr>
        <w:t>2</w:t>
      </w:r>
      <w:r w:rsidRPr="00C07306">
        <w:rPr>
          <w:rFonts w:ascii="Arial" w:hAnsi="Arial" w:cs="Arial"/>
        </w:rPr>
        <w:t>) all use lights to interpret power outage and restoration. Yet even in these studies, the signal is not identical to electricity access. A utility may restore transmission or feeder service before households can safely reconnect. Critical facilities and public plazas may be powered before residential streets. Temporary lighting, relief logistics, generators, fires, or military activity can create lights that do not represent ordinary recovery.</w:t>
      </w:r>
    </w:p>
    <w:p w14:paraId="2954051C" w14:textId="5F7D0CDE" w:rsidR="008B0937" w:rsidRPr="00C07306" w:rsidRDefault="008B0937" w:rsidP="008D4334">
      <w:pPr>
        <w:spacing w:line="240" w:lineRule="auto"/>
        <w:ind w:left="1080"/>
        <w:rPr>
          <w:rFonts w:ascii="Arial" w:hAnsi="Arial" w:cs="Arial"/>
        </w:rPr>
      </w:pPr>
      <w:r w:rsidRPr="00C07306">
        <w:rPr>
          <w:rFonts w:ascii="Arial" w:hAnsi="Arial" w:cs="Arial"/>
        </w:rPr>
        <w:t>This distinction explains why independent validation is central. Electricity-load data, utility outage reports, customer interruption records, feeder-level restoration data, and field surveys each observe different parts of the recovery system. NGCP load alignment in the RQ1 is therefore methodologically important because it tests whether reliability-qualified DNB-BRDF trajectories track independent electricity dynamics. Without such validation, NTL recovery metrics should be framed as radiance-based indicators of activity or lighting, not direct proof of electricity restoration.</w:t>
      </w:r>
    </w:p>
    <w:p w14:paraId="1754DA9E" w14:textId="017B238F" w:rsidR="008B0937" w:rsidRPr="00C07306" w:rsidRDefault="00F70C13" w:rsidP="008D4334">
      <w:pPr>
        <w:spacing w:line="240" w:lineRule="auto"/>
        <w:ind w:left="1080"/>
        <w:rPr>
          <w:rFonts w:ascii="Arial" w:hAnsi="Arial" w:cs="Arial"/>
        </w:rPr>
      </w:pPr>
      <w:r>
        <w:rPr>
          <w:rFonts w:ascii="Arial" w:hAnsi="Arial" w:cs="Arial"/>
        </w:rPr>
        <w:t>In the</w:t>
      </w:r>
      <w:r w:rsidR="008B0937" w:rsidRPr="00C07306">
        <w:rPr>
          <w:rFonts w:ascii="Arial" w:hAnsi="Arial" w:cs="Arial"/>
        </w:rPr>
        <w:t xml:space="preserve"> Philippine</w:t>
      </w:r>
      <w:r>
        <w:rPr>
          <w:rFonts w:ascii="Arial" w:hAnsi="Arial" w:cs="Arial"/>
        </w:rPr>
        <w:t xml:space="preserve">s, </w:t>
      </w:r>
      <w:r w:rsidR="008B0937" w:rsidRPr="00C07306">
        <w:rPr>
          <w:rFonts w:ascii="Arial" w:hAnsi="Arial" w:cs="Arial"/>
        </w:rPr>
        <w:t>official restoration language can differ from lived or observable recovery. A declared restoration milestone may mean that grid infrastructure is technically energized or that key facilities have power, while households, businesses, and street lighting remain below pre-event levels. This gap between institutional definitions and observed nightscape behavior is precisely where satellite evidence can contribute, provided that the observation record is first qualified.</w:t>
      </w:r>
    </w:p>
    <w:p w14:paraId="2D5391E7" w14:textId="3E66FACD" w:rsidR="008B0937" w:rsidRPr="00C07306" w:rsidRDefault="008B0937" w:rsidP="008D4334">
      <w:pPr>
        <w:pStyle w:val="Heading2"/>
        <w:numPr>
          <w:ilvl w:val="0"/>
          <w:numId w:val="10"/>
        </w:numPr>
        <w:spacing w:line="240" w:lineRule="auto"/>
        <w:rPr>
          <w:rFonts w:ascii="Arial" w:hAnsi="Arial" w:cs="Arial"/>
        </w:rPr>
      </w:pPr>
      <w:r w:rsidRPr="00C07306">
        <w:rPr>
          <w:rFonts w:ascii="Arial" w:hAnsi="Arial" w:cs="Arial"/>
        </w:rPr>
        <w:t>Resettlement, long-term recovery, and what NTL can add</w:t>
      </w:r>
    </w:p>
    <w:p w14:paraId="7B9AF307" w14:textId="77777777" w:rsidR="00E560EB" w:rsidRDefault="00E560EB" w:rsidP="008D4334">
      <w:pPr>
        <w:spacing w:line="240" w:lineRule="auto"/>
        <w:ind w:left="1080"/>
        <w:rPr>
          <w:rFonts w:ascii="Arial" w:hAnsi="Arial" w:cs="Arial"/>
        </w:rPr>
      </w:pPr>
    </w:p>
    <w:p w14:paraId="7A110EBA" w14:textId="1AA5C1AE" w:rsidR="008B0937" w:rsidRPr="00C07306" w:rsidRDefault="008B0937" w:rsidP="008D4334">
      <w:pPr>
        <w:spacing w:line="240" w:lineRule="auto"/>
        <w:ind w:left="1080"/>
        <w:rPr>
          <w:rFonts w:ascii="Arial" w:hAnsi="Arial" w:cs="Arial"/>
        </w:rPr>
      </w:pPr>
      <w:r w:rsidRPr="00C07306">
        <w:rPr>
          <w:rFonts w:ascii="Arial" w:hAnsi="Arial" w:cs="Arial"/>
        </w:rPr>
        <w:t xml:space="preserve">The resettlement literature demonstrates that recovery continues long after immediate electricity restoration. Relocation sites may emerge over years, and their sustainability depends on livelihood access, transport, services, governance, and integration with surrounding economic systems. NTL can help track whether such sites become brighter, </w:t>
      </w:r>
      <w:r w:rsidRPr="00C07306">
        <w:rPr>
          <w:rFonts w:ascii="Arial" w:hAnsi="Arial" w:cs="Arial"/>
        </w:rPr>
        <w:lastRenderedPageBreak/>
        <w:t>remain stagnant, or decline relative to local baselines. Principe (202</w:t>
      </w:r>
      <w:r w:rsidR="00E560EB">
        <w:rPr>
          <w:rFonts w:ascii="Arial" w:hAnsi="Arial" w:cs="Arial"/>
        </w:rPr>
        <w:t>3</w:t>
      </w:r>
      <w:r w:rsidRPr="00C07306">
        <w:rPr>
          <w:rFonts w:ascii="Arial" w:hAnsi="Arial" w:cs="Arial"/>
        </w:rPr>
        <w:t>) operationalize this idea</w:t>
      </w:r>
      <w:r w:rsidR="00383D1E">
        <w:rPr>
          <w:rFonts w:ascii="Arial" w:hAnsi="Arial" w:cs="Arial"/>
        </w:rPr>
        <w:t xml:space="preserve"> </w:t>
      </w:r>
      <w:r w:rsidRPr="00C07306">
        <w:rPr>
          <w:rFonts w:ascii="Arial" w:hAnsi="Arial" w:cs="Arial"/>
        </w:rPr>
        <w:t>which compare resettlement-site NTL trajectories with provincial NTL trends.</w:t>
      </w:r>
    </w:p>
    <w:p w14:paraId="7B6EDE2B" w14:textId="77777777" w:rsidR="008B0937" w:rsidRPr="00C07306" w:rsidRDefault="008B0937" w:rsidP="008D4334">
      <w:pPr>
        <w:spacing w:line="240" w:lineRule="auto"/>
        <w:ind w:left="1080"/>
        <w:rPr>
          <w:rFonts w:ascii="Arial" w:hAnsi="Arial" w:cs="Arial"/>
        </w:rPr>
      </w:pPr>
      <w:r w:rsidRPr="00C07306">
        <w:rPr>
          <w:rFonts w:ascii="Arial" w:hAnsi="Arial" w:cs="Arial"/>
        </w:rPr>
        <w:t xml:space="preserve">However, resettlement is also where the limits of NTL are most visible. A lit resettlement site may still have insecure livelihoods, poor access to schools or health care, flood exposure, weak public transport, or social dislocation. Conversely, a dim site may reflect low-density housing rather than failure. Social studies of Tacloban, </w:t>
      </w:r>
      <w:proofErr w:type="spellStart"/>
      <w:r w:rsidRPr="00C07306">
        <w:rPr>
          <w:rFonts w:ascii="Arial" w:hAnsi="Arial" w:cs="Arial"/>
        </w:rPr>
        <w:t>Kasiglahan</w:t>
      </w:r>
      <w:proofErr w:type="spellEnd"/>
      <w:r w:rsidRPr="00C07306">
        <w:rPr>
          <w:rFonts w:ascii="Arial" w:hAnsi="Arial" w:cs="Arial"/>
        </w:rPr>
        <w:t>, Cagayan de Oro, and other relocation sites therefore remain essential. NTL adds a scalable, retrospective, spatially consistent layer, but it does not replace household-level or governance-focused assessment.</w:t>
      </w:r>
    </w:p>
    <w:p w14:paraId="674E0756" w14:textId="439A0CDB" w:rsidR="008B0937" w:rsidRPr="00C07306" w:rsidRDefault="008B0937" w:rsidP="008D4334">
      <w:pPr>
        <w:pStyle w:val="Heading2"/>
        <w:numPr>
          <w:ilvl w:val="0"/>
          <w:numId w:val="10"/>
        </w:numPr>
        <w:spacing w:line="240" w:lineRule="auto"/>
        <w:rPr>
          <w:rFonts w:ascii="Arial" w:hAnsi="Arial" w:cs="Arial"/>
        </w:rPr>
      </w:pPr>
      <w:r w:rsidRPr="00C07306">
        <w:rPr>
          <w:rFonts w:ascii="Arial" w:hAnsi="Arial" w:cs="Arial"/>
        </w:rPr>
        <w:t>Current research premise after the expanded literature</w:t>
      </w:r>
    </w:p>
    <w:p w14:paraId="1C85B87A" w14:textId="77777777" w:rsidR="00383D1E" w:rsidRDefault="00383D1E" w:rsidP="008D4334">
      <w:pPr>
        <w:spacing w:line="240" w:lineRule="auto"/>
        <w:ind w:left="1080"/>
        <w:rPr>
          <w:rFonts w:ascii="Arial" w:hAnsi="Arial" w:cs="Arial"/>
        </w:rPr>
      </w:pPr>
    </w:p>
    <w:p w14:paraId="377C67DA" w14:textId="246D9F51" w:rsidR="008B0937" w:rsidRPr="00C07306" w:rsidRDefault="008B0937" w:rsidP="008D4334">
      <w:pPr>
        <w:spacing w:line="240" w:lineRule="auto"/>
        <w:ind w:left="1080"/>
        <w:rPr>
          <w:rFonts w:ascii="Arial" w:hAnsi="Arial" w:cs="Arial"/>
        </w:rPr>
      </w:pPr>
      <w:r w:rsidRPr="00C07306">
        <w:rPr>
          <w:rFonts w:ascii="Arial" w:hAnsi="Arial" w:cs="Arial"/>
        </w:rPr>
        <w:t>The expanded literature indicates that NTL disaster research is no longer at the stage of proving that lights can change after disasters. That premise is established across earthquakes, cyclones, floods, tsunamis, conflicts, pandemics, power shortages, and resettlement studies. The frontier is now methodological: how to decide when daily NTL can support a specific recovery claim, how to separate real activity change from observation artefacts, and how to account for cloud obstruction, viewing geometry, settlement heterogeneity, and validation constraints.</w:t>
      </w:r>
    </w:p>
    <w:p w14:paraId="3AA8E878" w14:textId="2836EDE1" w:rsidR="008B0937" w:rsidRPr="00C07306" w:rsidRDefault="008B0937" w:rsidP="008D4334">
      <w:pPr>
        <w:spacing w:line="240" w:lineRule="auto"/>
        <w:ind w:left="1080"/>
        <w:rPr>
          <w:rFonts w:ascii="Arial" w:hAnsi="Arial" w:cs="Arial"/>
        </w:rPr>
      </w:pPr>
      <w:r w:rsidRPr="00C07306">
        <w:rPr>
          <w:rFonts w:ascii="Arial" w:hAnsi="Arial" w:cs="Arial"/>
        </w:rPr>
        <w:t>In the Philippine and tropical context, this premise becomes sharper. Daily Black Marble provides a powerful signal for observing electrified activity, but daily availability is not equivalent to daily observability. Cloud obstruction, temporal gap filling, and low valid-pixel support can produce time series that look complete but are not directly observed. Therefore, observability must be established before interpretability, and interpretability must be established before recovery metrics are treated as evidence.</w:t>
      </w:r>
    </w:p>
    <w:p w14:paraId="20466D98" w14:textId="2B4B4690" w:rsidR="0069159E" w:rsidRDefault="00865C99" w:rsidP="0069159E">
      <w:pPr>
        <w:spacing w:line="240" w:lineRule="auto"/>
        <w:ind w:left="1080"/>
        <w:rPr>
          <w:rFonts w:ascii="Arial" w:hAnsi="Arial" w:cs="Arial"/>
        </w:rPr>
      </w:pPr>
      <w:r>
        <w:rPr>
          <w:rFonts w:ascii="Arial" w:hAnsi="Arial" w:cs="Arial"/>
        </w:rPr>
        <w:t>RQ2 can</w:t>
      </w:r>
      <w:r w:rsidR="008B0937" w:rsidRPr="00C07306">
        <w:rPr>
          <w:rFonts w:ascii="Arial" w:hAnsi="Arial" w:cs="Arial"/>
        </w:rPr>
        <w:t xml:space="preserve"> therefore be positioned within a specific gap: not the generic use of NTL for disaster recovery, but the development of recovery metrics that are admissible under reliability-qualified daily observation conditions in cloud-impacted tropical regions. This premise links the conceptual disaster-recovery literature, the NTL product literature, the methodological literature on time series and counterfactuals, the Philippine disaster context, and the empirical reliability findings from RQ1.</w:t>
      </w:r>
    </w:p>
    <w:p w14:paraId="596F26DA" w14:textId="77777777" w:rsidR="0069159E" w:rsidRPr="0069159E" w:rsidRDefault="0069159E" w:rsidP="0069159E">
      <w:pPr>
        <w:spacing w:line="240" w:lineRule="auto"/>
        <w:ind w:left="1080"/>
        <w:rPr>
          <w:rFonts w:ascii="Arial" w:hAnsi="Arial" w:cs="Arial"/>
        </w:rPr>
      </w:pPr>
    </w:p>
    <w:p w14:paraId="4DA1C8C3" w14:textId="33EEB722" w:rsidR="0069159E" w:rsidRDefault="0069159E" w:rsidP="0069159E">
      <w:pPr>
        <w:pStyle w:val="Heading1"/>
        <w:spacing w:line="240" w:lineRule="auto"/>
        <w:rPr>
          <w:rFonts w:ascii="Arial" w:hAnsi="Arial" w:cs="Arial"/>
          <w:color w:val="000000" w:themeColor="text1"/>
          <w:sz w:val="28"/>
          <w:szCs w:val="32"/>
        </w:rPr>
      </w:pPr>
      <w:r>
        <w:rPr>
          <w:rFonts w:ascii="Arial" w:hAnsi="Arial" w:cs="Arial"/>
          <w:color w:val="000000" w:themeColor="text1"/>
          <w:sz w:val="28"/>
          <w:szCs w:val="32"/>
        </w:rPr>
        <w:t>Chapter 4</w:t>
      </w:r>
      <w:r w:rsidRPr="001B71BE">
        <w:rPr>
          <w:rFonts w:ascii="Arial" w:hAnsi="Arial" w:cs="Arial"/>
          <w:color w:val="000000" w:themeColor="text1"/>
          <w:sz w:val="28"/>
          <w:szCs w:val="32"/>
        </w:rPr>
        <w:t xml:space="preserve">: </w:t>
      </w:r>
      <w:r>
        <w:rPr>
          <w:rFonts w:ascii="Arial" w:hAnsi="Arial" w:cs="Arial"/>
          <w:color w:val="000000" w:themeColor="text1"/>
          <w:sz w:val="28"/>
          <w:szCs w:val="32"/>
        </w:rPr>
        <w:t>Experimental Details</w:t>
      </w:r>
    </w:p>
    <w:p w14:paraId="4F834D0C" w14:textId="77777777" w:rsidR="0069159E" w:rsidRPr="0069159E" w:rsidRDefault="0069159E" w:rsidP="0069159E">
      <w:pPr>
        <w:rPr>
          <w:rFonts w:ascii="Arial" w:hAnsi="Arial" w:cs="Arial"/>
        </w:rPr>
      </w:pPr>
    </w:p>
    <w:p w14:paraId="1320FE59" w14:textId="25D6EE4C" w:rsidR="0069159E" w:rsidRPr="0069159E" w:rsidRDefault="0069159E" w:rsidP="0069159E">
      <w:pPr>
        <w:rPr>
          <w:rFonts w:ascii="Arial" w:hAnsi="Arial" w:cs="Arial"/>
          <w:b/>
          <w:bCs/>
          <w:color w:val="0432FF"/>
          <w:sz w:val="24"/>
          <w:szCs w:val="28"/>
        </w:rPr>
      </w:pPr>
      <w:r w:rsidRPr="0069159E">
        <w:rPr>
          <w:rFonts w:ascii="Arial" w:hAnsi="Arial" w:cs="Arial"/>
          <w:b/>
          <w:bCs/>
          <w:color w:val="0432FF"/>
          <w:sz w:val="24"/>
          <w:szCs w:val="28"/>
        </w:rPr>
        <w:t>Priority Samar–Leyte Storms for RQ2 Event Screening</w:t>
      </w:r>
    </w:p>
    <w:p w14:paraId="61B05A84" w14:textId="4D76A0B8" w:rsidR="0069159E" w:rsidRPr="0069159E" w:rsidRDefault="0069159E" w:rsidP="0069159E">
      <w:pPr>
        <w:rPr>
          <w:rFonts w:ascii="Arial" w:hAnsi="Arial" w:cs="Arial"/>
        </w:rPr>
      </w:pPr>
      <w:r w:rsidRPr="0069159E">
        <w:rPr>
          <w:rFonts w:ascii="Arial" w:hAnsi="Arial" w:cs="Arial"/>
        </w:rPr>
        <w:t>Public records often quantify outage extent better than outage duration. RQ2 can use these storms as event candidates, but power-recovery timing should be estimated systematically from reliability-qualified DNB-BRDF, compared against gap-filled NTL, and validated against NGCP load where spatially compatible.</w:t>
      </w:r>
    </w:p>
    <w:tbl>
      <w:tblPr>
        <w:tblStyle w:val="TableGrid"/>
        <w:tblW w:w="9990" w:type="dxa"/>
        <w:tblLook w:val="0600" w:firstRow="0" w:lastRow="0" w:firstColumn="0" w:lastColumn="0" w:noHBand="1" w:noVBand="1"/>
      </w:tblPr>
      <w:tblGrid>
        <w:gridCol w:w="1308"/>
        <w:gridCol w:w="1867"/>
        <w:gridCol w:w="1793"/>
        <w:gridCol w:w="3166"/>
        <w:gridCol w:w="1856"/>
      </w:tblGrid>
      <w:tr w:rsidR="0069159E" w:rsidRPr="0069159E" w14:paraId="1F7AF83A" w14:textId="77777777" w:rsidTr="0069159E">
        <w:trPr>
          <w:trHeight w:val="697"/>
        </w:trPr>
        <w:tc>
          <w:tcPr>
            <w:tcW w:w="1313" w:type="dxa"/>
            <w:shd w:val="clear" w:color="auto" w:fill="FFC000"/>
            <w:hideMark/>
          </w:tcPr>
          <w:p w14:paraId="349355B7" w14:textId="77777777" w:rsidR="0069159E" w:rsidRPr="0069159E" w:rsidRDefault="0069159E" w:rsidP="0069159E">
            <w:pPr>
              <w:rPr>
                <w:rFonts w:ascii="Arial" w:hAnsi="Arial" w:cs="Arial"/>
              </w:rPr>
            </w:pPr>
            <w:r w:rsidRPr="0069159E">
              <w:rPr>
                <w:rFonts w:ascii="Arial" w:hAnsi="Arial" w:cs="Arial"/>
                <w:b/>
                <w:bCs/>
              </w:rPr>
              <w:t>Event</w:t>
            </w:r>
          </w:p>
        </w:tc>
        <w:tc>
          <w:tcPr>
            <w:tcW w:w="1871" w:type="dxa"/>
            <w:shd w:val="clear" w:color="auto" w:fill="FFC000"/>
            <w:hideMark/>
          </w:tcPr>
          <w:p w14:paraId="134C19D6" w14:textId="77777777" w:rsidR="0069159E" w:rsidRPr="0069159E" w:rsidRDefault="0069159E" w:rsidP="0069159E">
            <w:pPr>
              <w:rPr>
                <w:rFonts w:ascii="Arial" w:hAnsi="Arial" w:cs="Arial"/>
              </w:rPr>
            </w:pPr>
            <w:r w:rsidRPr="0069159E">
              <w:rPr>
                <w:rFonts w:ascii="Arial" w:hAnsi="Arial" w:cs="Arial"/>
                <w:b/>
                <w:bCs/>
              </w:rPr>
              <w:t>Time / proximity to Samar–Leyte</w:t>
            </w:r>
          </w:p>
        </w:tc>
        <w:tc>
          <w:tcPr>
            <w:tcW w:w="1777" w:type="dxa"/>
            <w:shd w:val="clear" w:color="auto" w:fill="FFC000"/>
            <w:hideMark/>
          </w:tcPr>
          <w:p w14:paraId="6987DDBD" w14:textId="77777777" w:rsidR="0069159E" w:rsidRPr="0069159E" w:rsidRDefault="0069159E" w:rsidP="0069159E">
            <w:pPr>
              <w:rPr>
                <w:rFonts w:ascii="Arial" w:hAnsi="Arial" w:cs="Arial"/>
              </w:rPr>
            </w:pPr>
            <w:r w:rsidRPr="0069159E">
              <w:rPr>
                <w:rFonts w:ascii="Arial" w:hAnsi="Arial" w:cs="Arial"/>
                <w:b/>
                <w:bCs/>
              </w:rPr>
              <w:t>Reported damage / severity</w:t>
            </w:r>
          </w:p>
        </w:tc>
        <w:tc>
          <w:tcPr>
            <w:tcW w:w="3171" w:type="dxa"/>
            <w:shd w:val="clear" w:color="auto" w:fill="FFC000"/>
            <w:hideMark/>
          </w:tcPr>
          <w:p w14:paraId="1C5281F1" w14:textId="77777777" w:rsidR="0069159E" w:rsidRPr="0069159E" w:rsidRDefault="0069159E" w:rsidP="0069159E">
            <w:pPr>
              <w:rPr>
                <w:rFonts w:ascii="Arial" w:hAnsi="Arial" w:cs="Arial"/>
              </w:rPr>
            </w:pPr>
            <w:r w:rsidRPr="0069159E">
              <w:rPr>
                <w:rFonts w:ascii="Arial" w:hAnsi="Arial" w:cs="Arial"/>
                <w:b/>
                <w:bCs/>
              </w:rPr>
              <w:t>Public power-outage proxy</w:t>
            </w:r>
          </w:p>
        </w:tc>
        <w:tc>
          <w:tcPr>
            <w:tcW w:w="1858" w:type="dxa"/>
            <w:shd w:val="clear" w:color="auto" w:fill="FFC000"/>
            <w:hideMark/>
          </w:tcPr>
          <w:p w14:paraId="244FABB5" w14:textId="77777777" w:rsidR="0069159E" w:rsidRPr="0069159E" w:rsidRDefault="0069159E" w:rsidP="0069159E">
            <w:pPr>
              <w:rPr>
                <w:rFonts w:ascii="Arial" w:hAnsi="Arial" w:cs="Arial"/>
              </w:rPr>
            </w:pPr>
            <w:r w:rsidRPr="0069159E">
              <w:rPr>
                <w:rFonts w:ascii="Arial" w:hAnsi="Arial" w:cs="Arial"/>
                <w:b/>
                <w:bCs/>
              </w:rPr>
              <w:t>Use case for RQ2</w:t>
            </w:r>
          </w:p>
        </w:tc>
      </w:tr>
      <w:tr w:rsidR="0069159E" w:rsidRPr="0069159E" w14:paraId="76CA8C3B" w14:textId="77777777" w:rsidTr="0069159E">
        <w:trPr>
          <w:trHeight w:val="1297"/>
        </w:trPr>
        <w:tc>
          <w:tcPr>
            <w:tcW w:w="1313" w:type="dxa"/>
            <w:hideMark/>
          </w:tcPr>
          <w:p w14:paraId="4B9188C2" w14:textId="77777777" w:rsidR="0069159E" w:rsidRPr="0069159E" w:rsidRDefault="0069159E" w:rsidP="0069159E">
            <w:pPr>
              <w:rPr>
                <w:rFonts w:ascii="Arial" w:hAnsi="Arial" w:cs="Arial"/>
              </w:rPr>
            </w:pPr>
            <w:r w:rsidRPr="0069159E">
              <w:rPr>
                <w:rFonts w:ascii="Arial" w:hAnsi="Arial" w:cs="Arial"/>
                <w:b/>
                <w:bCs/>
              </w:rPr>
              <w:t>Haiyan / Yolanda (2013)</w:t>
            </w:r>
          </w:p>
        </w:tc>
        <w:tc>
          <w:tcPr>
            <w:tcW w:w="1871" w:type="dxa"/>
            <w:hideMark/>
          </w:tcPr>
          <w:p w14:paraId="29386374" w14:textId="77777777" w:rsidR="0069159E" w:rsidRPr="0069159E" w:rsidRDefault="0069159E" w:rsidP="0069159E">
            <w:pPr>
              <w:rPr>
                <w:rFonts w:ascii="Arial" w:hAnsi="Arial" w:cs="Arial"/>
              </w:rPr>
            </w:pPr>
            <w:r w:rsidRPr="0069159E">
              <w:rPr>
                <w:rFonts w:ascii="Arial" w:hAnsi="Arial" w:cs="Arial"/>
                <w:b/>
                <w:bCs/>
              </w:rPr>
              <w:t>8 Nov 2013, 4:40 AM PHT</w:t>
            </w:r>
            <w:r w:rsidRPr="0069159E">
              <w:rPr>
                <w:rFonts w:ascii="Arial" w:hAnsi="Arial" w:cs="Arial"/>
              </w:rPr>
              <w:t>; first landfall Guiuan, Eastern Samar</w:t>
            </w:r>
          </w:p>
        </w:tc>
        <w:tc>
          <w:tcPr>
            <w:tcW w:w="1777" w:type="dxa"/>
            <w:hideMark/>
          </w:tcPr>
          <w:p w14:paraId="734C1EF9" w14:textId="77777777" w:rsidR="0069159E" w:rsidRPr="0069159E" w:rsidRDefault="0069159E" w:rsidP="0069159E">
            <w:pPr>
              <w:rPr>
                <w:rFonts w:ascii="Arial" w:hAnsi="Arial" w:cs="Arial"/>
              </w:rPr>
            </w:pPr>
            <w:r w:rsidRPr="0069159E">
              <w:rPr>
                <w:rFonts w:ascii="Arial" w:hAnsi="Arial" w:cs="Arial"/>
                <w:b/>
                <w:bCs/>
              </w:rPr>
              <w:t>₱89.6B</w:t>
            </w:r>
            <w:r w:rsidRPr="0069159E">
              <w:rPr>
                <w:rFonts w:ascii="Arial" w:hAnsi="Arial" w:cs="Arial"/>
              </w:rPr>
              <w:t> total damage; 6,300 deaths; catastrophic Leyte–Samar impact</w:t>
            </w:r>
          </w:p>
        </w:tc>
        <w:tc>
          <w:tcPr>
            <w:tcW w:w="3171" w:type="dxa"/>
            <w:hideMark/>
          </w:tcPr>
          <w:p w14:paraId="4A4D1B63" w14:textId="77777777" w:rsidR="0069159E" w:rsidRPr="0069159E" w:rsidRDefault="0069159E" w:rsidP="0069159E">
            <w:pPr>
              <w:rPr>
                <w:rFonts w:ascii="Arial" w:hAnsi="Arial" w:cs="Arial"/>
              </w:rPr>
            </w:pPr>
            <w:r w:rsidRPr="0069159E">
              <w:rPr>
                <w:rFonts w:ascii="Arial" w:hAnsi="Arial" w:cs="Arial"/>
              </w:rPr>
              <w:t>Large parts of Leyte/Samar without power for </w:t>
            </w:r>
            <w:r w:rsidRPr="0069159E">
              <w:rPr>
                <w:rFonts w:ascii="Arial" w:hAnsi="Arial" w:cs="Arial"/>
                <w:b/>
                <w:bCs/>
              </w:rPr>
              <w:t>weeks</w:t>
            </w:r>
            <w:r w:rsidRPr="0069159E">
              <w:rPr>
                <w:rFonts w:ascii="Arial" w:hAnsi="Arial" w:cs="Arial"/>
              </w:rPr>
              <w:t>; some sources anticipated up to </w:t>
            </w:r>
            <w:r w:rsidRPr="0069159E">
              <w:rPr>
                <w:rFonts w:ascii="Arial" w:hAnsi="Arial" w:cs="Arial"/>
                <w:b/>
                <w:bCs/>
              </w:rPr>
              <w:t>~1 month</w:t>
            </w:r>
            <w:r w:rsidRPr="0069159E">
              <w:rPr>
                <w:rFonts w:ascii="Arial" w:hAnsi="Arial" w:cs="Arial"/>
              </w:rPr>
              <w:t>, while damaged Leyte geothermal generation returned in </w:t>
            </w:r>
            <w:r w:rsidRPr="0069159E">
              <w:rPr>
                <w:rFonts w:ascii="Arial" w:hAnsi="Arial" w:cs="Arial"/>
                <w:b/>
                <w:bCs/>
              </w:rPr>
              <w:t>Jan 2014</w:t>
            </w:r>
          </w:p>
        </w:tc>
        <w:tc>
          <w:tcPr>
            <w:tcW w:w="1858" w:type="dxa"/>
            <w:hideMark/>
          </w:tcPr>
          <w:p w14:paraId="0B207238" w14:textId="77777777" w:rsidR="0069159E" w:rsidRPr="0069159E" w:rsidRDefault="0069159E" w:rsidP="0069159E">
            <w:pPr>
              <w:rPr>
                <w:rFonts w:ascii="Arial" w:hAnsi="Arial" w:cs="Arial"/>
              </w:rPr>
            </w:pPr>
            <w:r w:rsidRPr="0069159E">
              <w:rPr>
                <w:rFonts w:ascii="Arial" w:hAnsi="Arial" w:cs="Arial"/>
                <w:b/>
                <w:bCs/>
              </w:rPr>
              <w:t>Primary prototype</w:t>
            </w:r>
            <w:r w:rsidRPr="0069159E">
              <w:rPr>
                <w:rFonts w:ascii="Arial" w:hAnsi="Arial" w:cs="Arial"/>
              </w:rPr>
              <w:t>: strongest impact, known outage, long recovery signal</w:t>
            </w:r>
          </w:p>
        </w:tc>
      </w:tr>
      <w:tr w:rsidR="0069159E" w:rsidRPr="0069159E" w14:paraId="7413903A" w14:textId="77777777" w:rsidTr="0069159E">
        <w:trPr>
          <w:trHeight w:val="794"/>
        </w:trPr>
        <w:tc>
          <w:tcPr>
            <w:tcW w:w="1313" w:type="dxa"/>
            <w:hideMark/>
          </w:tcPr>
          <w:p w14:paraId="5372B4FC" w14:textId="77777777" w:rsidR="0069159E" w:rsidRPr="0069159E" w:rsidRDefault="0069159E" w:rsidP="0069159E">
            <w:pPr>
              <w:rPr>
                <w:rFonts w:ascii="Arial" w:hAnsi="Arial" w:cs="Arial"/>
              </w:rPr>
            </w:pPr>
            <w:r w:rsidRPr="0069159E">
              <w:rPr>
                <w:rFonts w:ascii="Arial" w:hAnsi="Arial" w:cs="Arial"/>
                <w:b/>
                <w:bCs/>
              </w:rPr>
              <w:lastRenderedPageBreak/>
              <w:t>Hagupit / Ruby (2014)</w:t>
            </w:r>
          </w:p>
        </w:tc>
        <w:tc>
          <w:tcPr>
            <w:tcW w:w="1871" w:type="dxa"/>
            <w:hideMark/>
          </w:tcPr>
          <w:p w14:paraId="729603A2" w14:textId="77777777" w:rsidR="0069159E" w:rsidRPr="0069159E" w:rsidRDefault="0069159E" w:rsidP="0069159E">
            <w:pPr>
              <w:rPr>
                <w:rFonts w:ascii="Arial" w:hAnsi="Arial" w:cs="Arial"/>
              </w:rPr>
            </w:pPr>
            <w:r w:rsidRPr="0069159E">
              <w:rPr>
                <w:rFonts w:ascii="Arial" w:hAnsi="Arial" w:cs="Arial"/>
                <w:b/>
                <w:bCs/>
              </w:rPr>
              <w:t>6 Dec 2014</w:t>
            </w:r>
            <w:r w:rsidRPr="0069159E">
              <w:rPr>
                <w:rFonts w:ascii="Arial" w:hAnsi="Arial" w:cs="Arial"/>
              </w:rPr>
              <w:t>; first landfall Dolores, Eastern Samar</w:t>
            </w:r>
          </w:p>
        </w:tc>
        <w:tc>
          <w:tcPr>
            <w:tcW w:w="1777" w:type="dxa"/>
            <w:hideMark/>
          </w:tcPr>
          <w:p w14:paraId="001640C3" w14:textId="77777777" w:rsidR="0069159E" w:rsidRPr="0069159E" w:rsidRDefault="0069159E" w:rsidP="0069159E">
            <w:pPr>
              <w:rPr>
                <w:rFonts w:ascii="Arial" w:hAnsi="Arial" w:cs="Arial"/>
              </w:rPr>
            </w:pPr>
            <w:r w:rsidRPr="0069159E">
              <w:rPr>
                <w:rFonts w:ascii="Arial" w:hAnsi="Arial" w:cs="Arial"/>
                <w:b/>
                <w:bCs/>
              </w:rPr>
              <w:t>₱5.09B</w:t>
            </w:r>
            <w:r w:rsidRPr="0069159E">
              <w:rPr>
                <w:rFonts w:ascii="Arial" w:hAnsi="Arial" w:cs="Arial"/>
              </w:rPr>
              <w:t> damage; 18 deaths</w:t>
            </w:r>
          </w:p>
        </w:tc>
        <w:tc>
          <w:tcPr>
            <w:tcW w:w="3171" w:type="dxa"/>
            <w:hideMark/>
          </w:tcPr>
          <w:p w14:paraId="70BF2352" w14:textId="77777777" w:rsidR="0069159E" w:rsidRPr="0069159E" w:rsidRDefault="0069159E" w:rsidP="0069159E">
            <w:pPr>
              <w:rPr>
                <w:rFonts w:ascii="Arial" w:hAnsi="Arial" w:cs="Arial"/>
              </w:rPr>
            </w:pPr>
            <w:r w:rsidRPr="0069159E">
              <w:rPr>
                <w:rFonts w:ascii="Arial" w:hAnsi="Arial" w:cs="Arial"/>
              </w:rPr>
              <w:t>outage duration not clearly quantified in public summaries</w:t>
            </w:r>
          </w:p>
        </w:tc>
        <w:tc>
          <w:tcPr>
            <w:tcW w:w="1858" w:type="dxa"/>
            <w:hideMark/>
          </w:tcPr>
          <w:p w14:paraId="6FBB009E" w14:textId="77777777" w:rsidR="0069159E" w:rsidRPr="0069159E" w:rsidRDefault="0069159E" w:rsidP="0069159E">
            <w:pPr>
              <w:rPr>
                <w:rFonts w:ascii="Arial" w:hAnsi="Arial" w:cs="Arial"/>
              </w:rPr>
            </w:pPr>
            <w:r w:rsidRPr="0069159E">
              <w:rPr>
                <w:rFonts w:ascii="Arial" w:hAnsi="Arial" w:cs="Arial"/>
              </w:rPr>
              <w:t>Good test of post-Haiyan storm response and observability under December cloud</w:t>
            </w:r>
          </w:p>
        </w:tc>
      </w:tr>
      <w:tr w:rsidR="0069159E" w:rsidRPr="0069159E" w14:paraId="3F0EFA03" w14:textId="77777777" w:rsidTr="0069159E">
        <w:trPr>
          <w:trHeight w:val="1013"/>
        </w:trPr>
        <w:tc>
          <w:tcPr>
            <w:tcW w:w="1313" w:type="dxa"/>
            <w:hideMark/>
          </w:tcPr>
          <w:p w14:paraId="2D90F164" w14:textId="77777777" w:rsidR="0069159E" w:rsidRPr="0069159E" w:rsidRDefault="0069159E" w:rsidP="0069159E">
            <w:pPr>
              <w:rPr>
                <w:rFonts w:ascii="Arial" w:hAnsi="Arial" w:cs="Arial"/>
              </w:rPr>
            </w:pPr>
            <w:proofErr w:type="spellStart"/>
            <w:r w:rsidRPr="0069159E">
              <w:rPr>
                <w:rFonts w:ascii="Arial" w:hAnsi="Arial" w:cs="Arial"/>
                <w:b/>
                <w:bCs/>
              </w:rPr>
              <w:t>Phanfone</w:t>
            </w:r>
            <w:proofErr w:type="spellEnd"/>
            <w:r w:rsidRPr="0069159E">
              <w:rPr>
                <w:rFonts w:ascii="Arial" w:hAnsi="Arial" w:cs="Arial"/>
                <w:b/>
                <w:bCs/>
              </w:rPr>
              <w:t xml:space="preserve"> / Ursula (2019)</w:t>
            </w:r>
          </w:p>
        </w:tc>
        <w:tc>
          <w:tcPr>
            <w:tcW w:w="1871" w:type="dxa"/>
            <w:hideMark/>
          </w:tcPr>
          <w:p w14:paraId="2C894798" w14:textId="77777777" w:rsidR="0069159E" w:rsidRPr="0069159E" w:rsidRDefault="0069159E" w:rsidP="0069159E">
            <w:pPr>
              <w:rPr>
                <w:rFonts w:ascii="Arial" w:hAnsi="Arial" w:cs="Arial"/>
              </w:rPr>
            </w:pPr>
            <w:r w:rsidRPr="0069159E">
              <w:rPr>
                <w:rFonts w:ascii="Arial" w:hAnsi="Arial" w:cs="Arial"/>
                <w:b/>
                <w:bCs/>
              </w:rPr>
              <w:t>24 Dec 2019</w:t>
            </w:r>
            <w:r w:rsidRPr="0069159E">
              <w:rPr>
                <w:rFonts w:ascii="Arial" w:hAnsi="Arial" w:cs="Arial"/>
              </w:rPr>
              <w:t>; Salcedo, Eastern Samar 4:45 PM; Tacloban 7:30 PM; Biliran 9:15 PM</w:t>
            </w:r>
          </w:p>
        </w:tc>
        <w:tc>
          <w:tcPr>
            <w:tcW w:w="1777" w:type="dxa"/>
            <w:hideMark/>
          </w:tcPr>
          <w:p w14:paraId="298C69E3" w14:textId="77777777" w:rsidR="0069159E" w:rsidRPr="0069159E" w:rsidRDefault="0069159E" w:rsidP="0069159E">
            <w:pPr>
              <w:rPr>
                <w:rFonts w:ascii="Arial" w:hAnsi="Arial" w:cs="Arial"/>
              </w:rPr>
            </w:pPr>
            <w:r w:rsidRPr="0069159E">
              <w:rPr>
                <w:rFonts w:ascii="Arial" w:hAnsi="Arial" w:cs="Arial"/>
              </w:rPr>
              <w:t>~</w:t>
            </w:r>
            <w:r w:rsidRPr="0069159E">
              <w:rPr>
                <w:rFonts w:ascii="Arial" w:hAnsi="Arial" w:cs="Arial"/>
                <w:b/>
                <w:bCs/>
              </w:rPr>
              <w:t>US$67M / ~₱3B</w:t>
            </w:r>
            <w:r w:rsidRPr="0069159E">
              <w:rPr>
                <w:rFonts w:ascii="Arial" w:hAnsi="Arial" w:cs="Arial"/>
              </w:rPr>
              <w:t> damage; 50 deaths</w:t>
            </w:r>
          </w:p>
        </w:tc>
        <w:tc>
          <w:tcPr>
            <w:tcW w:w="3171" w:type="dxa"/>
            <w:hideMark/>
          </w:tcPr>
          <w:p w14:paraId="0AC6F0E0" w14:textId="77777777" w:rsidR="0069159E" w:rsidRPr="0069159E" w:rsidRDefault="0069159E" w:rsidP="0069159E">
            <w:pPr>
              <w:rPr>
                <w:rFonts w:ascii="Arial" w:hAnsi="Arial" w:cs="Arial"/>
              </w:rPr>
            </w:pPr>
            <w:r w:rsidRPr="0069159E">
              <w:rPr>
                <w:rFonts w:ascii="Arial" w:hAnsi="Arial" w:cs="Arial"/>
                <w:b/>
                <w:bCs/>
              </w:rPr>
              <w:t>147 cities</w:t>
            </w:r>
            <w:r w:rsidRPr="0069159E">
              <w:rPr>
                <w:rFonts w:ascii="Arial" w:hAnsi="Arial" w:cs="Arial"/>
              </w:rPr>
              <w:t> affected by power outages; </w:t>
            </w:r>
            <w:r w:rsidRPr="0069159E">
              <w:rPr>
                <w:rFonts w:ascii="Arial" w:hAnsi="Arial" w:cs="Arial"/>
                <w:b/>
                <w:bCs/>
              </w:rPr>
              <w:t>31 restored by 27 Dec</w:t>
            </w:r>
            <w:r w:rsidRPr="0069159E">
              <w:rPr>
                <w:rFonts w:ascii="Arial" w:hAnsi="Arial" w:cs="Arial"/>
              </w:rPr>
              <w:t> → at least </w:t>
            </w:r>
            <w:r w:rsidRPr="0069159E">
              <w:rPr>
                <w:rFonts w:ascii="Arial" w:hAnsi="Arial" w:cs="Arial"/>
                <w:b/>
                <w:bCs/>
              </w:rPr>
              <w:t>3-day partial-restoration proxy</w:t>
            </w:r>
          </w:p>
        </w:tc>
        <w:tc>
          <w:tcPr>
            <w:tcW w:w="1858" w:type="dxa"/>
            <w:hideMark/>
          </w:tcPr>
          <w:p w14:paraId="0D1378D3" w14:textId="77777777" w:rsidR="0069159E" w:rsidRPr="0069159E" w:rsidRDefault="0069159E" w:rsidP="0069159E">
            <w:pPr>
              <w:rPr>
                <w:rFonts w:ascii="Arial" w:hAnsi="Arial" w:cs="Arial"/>
              </w:rPr>
            </w:pPr>
            <w:r w:rsidRPr="0069159E">
              <w:rPr>
                <w:rFonts w:ascii="Arial" w:hAnsi="Arial" w:cs="Arial"/>
              </w:rPr>
              <w:t>Strong direct Samar–Leyte track; useful for short-to-medium outage profile</w:t>
            </w:r>
          </w:p>
        </w:tc>
      </w:tr>
      <w:tr w:rsidR="0069159E" w:rsidRPr="0069159E" w14:paraId="508EA26D" w14:textId="77777777" w:rsidTr="0069159E">
        <w:trPr>
          <w:trHeight w:val="771"/>
        </w:trPr>
        <w:tc>
          <w:tcPr>
            <w:tcW w:w="1313" w:type="dxa"/>
            <w:hideMark/>
          </w:tcPr>
          <w:p w14:paraId="3C9A2A3E" w14:textId="77777777" w:rsidR="0069159E" w:rsidRPr="0069159E" w:rsidRDefault="0069159E" w:rsidP="0069159E">
            <w:pPr>
              <w:rPr>
                <w:rFonts w:ascii="Arial" w:hAnsi="Arial" w:cs="Arial"/>
              </w:rPr>
            </w:pPr>
            <w:proofErr w:type="spellStart"/>
            <w:r w:rsidRPr="0069159E">
              <w:rPr>
                <w:rFonts w:ascii="Arial" w:hAnsi="Arial" w:cs="Arial"/>
                <w:b/>
                <w:bCs/>
              </w:rPr>
              <w:t>Vongfong</w:t>
            </w:r>
            <w:proofErr w:type="spellEnd"/>
            <w:r w:rsidRPr="0069159E">
              <w:rPr>
                <w:rFonts w:ascii="Arial" w:hAnsi="Arial" w:cs="Arial"/>
                <w:b/>
                <w:bCs/>
              </w:rPr>
              <w:t xml:space="preserve"> / Ambo (2020)</w:t>
            </w:r>
          </w:p>
        </w:tc>
        <w:tc>
          <w:tcPr>
            <w:tcW w:w="1871" w:type="dxa"/>
            <w:hideMark/>
          </w:tcPr>
          <w:p w14:paraId="01536E9C" w14:textId="77777777" w:rsidR="0069159E" w:rsidRPr="0069159E" w:rsidRDefault="0069159E" w:rsidP="0069159E">
            <w:pPr>
              <w:rPr>
                <w:rFonts w:ascii="Arial" w:hAnsi="Arial" w:cs="Arial"/>
              </w:rPr>
            </w:pPr>
            <w:r w:rsidRPr="0069159E">
              <w:rPr>
                <w:rFonts w:ascii="Arial" w:hAnsi="Arial" w:cs="Arial"/>
                <w:b/>
                <w:bCs/>
              </w:rPr>
              <w:t>14 May 2020, ~12:15 PM PHT</w:t>
            </w:r>
            <w:r w:rsidRPr="0069159E">
              <w:rPr>
                <w:rFonts w:ascii="Arial" w:hAnsi="Arial" w:cs="Arial"/>
              </w:rPr>
              <w:t>; San Policarpo, Eastern Samar</w:t>
            </w:r>
          </w:p>
        </w:tc>
        <w:tc>
          <w:tcPr>
            <w:tcW w:w="1777" w:type="dxa"/>
            <w:hideMark/>
          </w:tcPr>
          <w:p w14:paraId="78C7013A" w14:textId="77777777" w:rsidR="0069159E" w:rsidRPr="0069159E" w:rsidRDefault="0069159E" w:rsidP="0069159E">
            <w:pPr>
              <w:rPr>
                <w:rFonts w:ascii="Arial" w:hAnsi="Arial" w:cs="Arial"/>
              </w:rPr>
            </w:pPr>
            <w:r w:rsidRPr="0069159E">
              <w:rPr>
                <w:rFonts w:ascii="Arial" w:hAnsi="Arial" w:cs="Arial"/>
                <w:b/>
                <w:bCs/>
              </w:rPr>
              <w:t>₱1.57B</w:t>
            </w:r>
            <w:r w:rsidRPr="0069159E">
              <w:rPr>
                <w:rFonts w:ascii="Arial" w:hAnsi="Arial" w:cs="Arial"/>
              </w:rPr>
              <w:t> damage; 5 deaths</w:t>
            </w:r>
          </w:p>
        </w:tc>
        <w:tc>
          <w:tcPr>
            <w:tcW w:w="3171" w:type="dxa"/>
            <w:hideMark/>
          </w:tcPr>
          <w:p w14:paraId="058714DF" w14:textId="77777777" w:rsidR="0069159E" w:rsidRPr="0069159E" w:rsidRDefault="0069159E" w:rsidP="0069159E">
            <w:pPr>
              <w:rPr>
                <w:rFonts w:ascii="Arial" w:hAnsi="Arial" w:cs="Arial"/>
              </w:rPr>
            </w:pPr>
            <w:r w:rsidRPr="0069159E">
              <w:rPr>
                <w:rFonts w:ascii="Arial" w:hAnsi="Arial" w:cs="Arial"/>
              </w:rPr>
              <w:t>power outages and communications disruption reported in Eastern Samar; duration not clearly quantified</w:t>
            </w:r>
          </w:p>
        </w:tc>
        <w:tc>
          <w:tcPr>
            <w:tcW w:w="1858" w:type="dxa"/>
            <w:hideMark/>
          </w:tcPr>
          <w:p w14:paraId="2A386530" w14:textId="77777777" w:rsidR="0069159E" w:rsidRPr="0069159E" w:rsidRDefault="0069159E" w:rsidP="0069159E">
            <w:pPr>
              <w:rPr>
                <w:rFonts w:ascii="Arial" w:hAnsi="Arial" w:cs="Arial"/>
              </w:rPr>
            </w:pPr>
            <w:r w:rsidRPr="0069159E">
              <w:rPr>
                <w:rFonts w:ascii="Arial" w:hAnsi="Arial" w:cs="Arial"/>
              </w:rPr>
              <w:t xml:space="preserve">Useful wet-season / </w:t>
            </w:r>
            <w:r w:rsidRPr="0069159E">
              <w:rPr>
                <w:rFonts w:ascii="Arial" w:hAnsi="Arial" w:cs="Arial"/>
                <w:b/>
                <w:bCs/>
              </w:rPr>
              <w:t>COVID-era</w:t>
            </w:r>
            <w:r w:rsidRPr="0069159E">
              <w:rPr>
                <w:rFonts w:ascii="Arial" w:hAnsi="Arial" w:cs="Arial"/>
              </w:rPr>
              <w:t xml:space="preserve"> event; tests low-observability conditions</w:t>
            </w:r>
          </w:p>
        </w:tc>
      </w:tr>
      <w:tr w:rsidR="0069159E" w:rsidRPr="0069159E" w14:paraId="08A925E5" w14:textId="77777777" w:rsidTr="0069159E">
        <w:trPr>
          <w:trHeight w:val="1255"/>
        </w:trPr>
        <w:tc>
          <w:tcPr>
            <w:tcW w:w="1313" w:type="dxa"/>
            <w:hideMark/>
          </w:tcPr>
          <w:p w14:paraId="0AFA0E16" w14:textId="77777777" w:rsidR="0069159E" w:rsidRPr="0069159E" w:rsidRDefault="0069159E" w:rsidP="0069159E">
            <w:pPr>
              <w:rPr>
                <w:rFonts w:ascii="Arial" w:hAnsi="Arial" w:cs="Arial"/>
              </w:rPr>
            </w:pPr>
            <w:r w:rsidRPr="0069159E">
              <w:rPr>
                <w:rFonts w:ascii="Arial" w:hAnsi="Arial" w:cs="Arial"/>
                <w:b/>
                <w:bCs/>
              </w:rPr>
              <w:t>Rai / Odette (2021)</w:t>
            </w:r>
          </w:p>
        </w:tc>
        <w:tc>
          <w:tcPr>
            <w:tcW w:w="1871" w:type="dxa"/>
            <w:hideMark/>
          </w:tcPr>
          <w:p w14:paraId="35FB1758" w14:textId="77777777" w:rsidR="0069159E" w:rsidRPr="0069159E" w:rsidRDefault="0069159E" w:rsidP="0069159E">
            <w:pPr>
              <w:rPr>
                <w:rFonts w:ascii="Arial" w:hAnsi="Arial" w:cs="Arial"/>
              </w:rPr>
            </w:pPr>
            <w:r w:rsidRPr="0069159E">
              <w:rPr>
                <w:rFonts w:ascii="Arial" w:hAnsi="Arial" w:cs="Arial"/>
                <w:b/>
                <w:bCs/>
              </w:rPr>
              <w:t>16–17 Dec 2021</w:t>
            </w:r>
            <w:r w:rsidRPr="0069159E">
              <w:rPr>
                <w:rFonts w:ascii="Arial" w:hAnsi="Arial" w:cs="Arial"/>
              </w:rPr>
              <w:t>; severe impact in Southern Leyte / nearby Visayas</w:t>
            </w:r>
          </w:p>
        </w:tc>
        <w:tc>
          <w:tcPr>
            <w:tcW w:w="1777" w:type="dxa"/>
            <w:hideMark/>
          </w:tcPr>
          <w:p w14:paraId="7CBB4B07" w14:textId="77777777" w:rsidR="0069159E" w:rsidRPr="0069159E" w:rsidRDefault="0069159E" w:rsidP="0069159E">
            <w:pPr>
              <w:rPr>
                <w:rFonts w:ascii="Arial" w:hAnsi="Arial" w:cs="Arial"/>
              </w:rPr>
            </w:pPr>
            <w:r w:rsidRPr="0069159E">
              <w:rPr>
                <w:rFonts w:ascii="Arial" w:hAnsi="Arial" w:cs="Arial"/>
                <w:b/>
                <w:bCs/>
              </w:rPr>
              <w:t>₱47.6B–₱51.8B</w:t>
            </w:r>
            <w:r w:rsidRPr="0069159E">
              <w:rPr>
                <w:rFonts w:ascii="Arial" w:hAnsi="Arial" w:cs="Arial"/>
              </w:rPr>
              <w:t>damage; 409–410 deaths</w:t>
            </w:r>
          </w:p>
        </w:tc>
        <w:tc>
          <w:tcPr>
            <w:tcW w:w="3171" w:type="dxa"/>
            <w:hideMark/>
          </w:tcPr>
          <w:p w14:paraId="383A575C" w14:textId="77777777" w:rsidR="0069159E" w:rsidRPr="0069159E" w:rsidRDefault="0069159E" w:rsidP="0069159E">
            <w:pPr>
              <w:rPr>
                <w:rFonts w:ascii="Arial" w:hAnsi="Arial" w:cs="Arial"/>
              </w:rPr>
            </w:pPr>
            <w:r w:rsidRPr="0069159E">
              <w:rPr>
                <w:rFonts w:ascii="Arial" w:hAnsi="Arial" w:cs="Arial"/>
                <w:b/>
                <w:bCs/>
              </w:rPr>
              <w:t>227 municipalities</w:t>
            </w:r>
            <w:r w:rsidRPr="0069159E">
              <w:rPr>
                <w:rFonts w:ascii="Arial" w:hAnsi="Arial" w:cs="Arial"/>
              </w:rPr>
              <w:t> had power outages; only </w:t>
            </w:r>
            <w:r w:rsidRPr="0069159E">
              <w:rPr>
                <w:rFonts w:ascii="Arial" w:hAnsi="Arial" w:cs="Arial"/>
                <w:b/>
                <w:bCs/>
              </w:rPr>
              <w:t>~9% restored after ~3 days</w:t>
            </w:r>
            <w:r w:rsidRPr="0069159E">
              <w:rPr>
                <w:rFonts w:ascii="Arial" w:hAnsi="Arial" w:cs="Arial"/>
              </w:rPr>
              <w:t>; Southern Leyte localities reported isolated without electricity/communications</w:t>
            </w:r>
          </w:p>
        </w:tc>
        <w:tc>
          <w:tcPr>
            <w:tcW w:w="1858" w:type="dxa"/>
            <w:hideMark/>
          </w:tcPr>
          <w:p w14:paraId="31363C04" w14:textId="77777777" w:rsidR="0069159E" w:rsidRPr="0069159E" w:rsidRDefault="0069159E" w:rsidP="0069159E">
            <w:pPr>
              <w:rPr>
                <w:rFonts w:ascii="Arial" w:hAnsi="Arial" w:cs="Arial"/>
              </w:rPr>
            </w:pPr>
            <w:r w:rsidRPr="0069159E">
              <w:rPr>
                <w:rFonts w:ascii="Arial" w:hAnsi="Arial" w:cs="Arial"/>
              </w:rPr>
              <w:t>Severe modern event; strong candidate after Haiyan</w:t>
            </w:r>
          </w:p>
        </w:tc>
      </w:tr>
      <w:tr w:rsidR="0069159E" w:rsidRPr="0069159E" w14:paraId="3143B236" w14:textId="77777777" w:rsidTr="0069159E">
        <w:trPr>
          <w:trHeight w:val="1087"/>
        </w:trPr>
        <w:tc>
          <w:tcPr>
            <w:tcW w:w="1313" w:type="dxa"/>
            <w:hideMark/>
          </w:tcPr>
          <w:p w14:paraId="5C1F7DC2" w14:textId="77777777" w:rsidR="0069159E" w:rsidRPr="0069159E" w:rsidRDefault="0069159E" w:rsidP="0069159E">
            <w:pPr>
              <w:rPr>
                <w:rFonts w:ascii="Arial" w:hAnsi="Arial" w:cs="Arial"/>
              </w:rPr>
            </w:pPr>
            <w:r w:rsidRPr="0069159E">
              <w:rPr>
                <w:rFonts w:ascii="Arial" w:hAnsi="Arial" w:cs="Arial"/>
                <w:b/>
                <w:bCs/>
              </w:rPr>
              <w:t>Megi / Agaton (2022)</w:t>
            </w:r>
          </w:p>
        </w:tc>
        <w:tc>
          <w:tcPr>
            <w:tcW w:w="1871" w:type="dxa"/>
            <w:hideMark/>
          </w:tcPr>
          <w:p w14:paraId="3F2864D3" w14:textId="77777777" w:rsidR="0069159E" w:rsidRPr="0069159E" w:rsidRDefault="0069159E" w:rsidP="0069159E">
            <w:pPr>
              <w:rPr>
                <w:rFonts w:ascii="Arial" w:hAnsi="Arial" w:cs="Arial"/>
              </w:rPr>
            </w:pPr>
            <w:r w:rsidRPr="0069159E">
              <w:rPr>
                <w:rFonts w:ascii="Arial" w:hAnsi="Arial" w:cs="Arial"/>
                <w:b/>
                <w:bCs/>
              </w:rPr>
              <w:t>10 Apr 2022</w:t>
            </w:r>
            <w:r w:rsidRPr="0069159E">
              <w:rPr>
                <w:rFonts w:ascii="Arial" w:hAnsi="Arial" w:cs="Arial"/>
              </w:rPr>
              <w:t xml:space="preserve">; landfalls </w:t>
            </w:r>
            <w:proofErr w:type="spellStart"/>
            <w:r w:rsidRPr="0069159E">
              <w:rPr>
                <w:rFonts w:ascii="Arial" w:hAnsi="Arial" w:cs="Arial"/>
              </w:rPr>
              <w:t>Calicoan</w:t>
            </w:r>
            <w:proofErr w:type="spellEnd"/>
            <w:r w:rsidRPr="0069159E">
              <w:rPr>
                <w:rFonts w:ascii="Arial" w:hAnsi="Arial" w:cs="Arial"/>
              </w:rPr>
              <w:t>/Guiuan and Basey, Samar; severe Leyte landslides</w:t>
            </w:r>
          </w:p>
        </w:tc>
        <w:tc>
          <w:tcPr>
            <w:tcW w:w="1777" w:type="dxa"/>
            <w:hideMark/>
          </w:tcPr>
          <w:p w14:paraId="0BB0DB55" w14:textId="77777777" w:rsidR="0069159E" w:rsidRPr="0069159E" w:rsidRDefault="0069159E" w:rsidP="0069159E">
            <w:pPr>
              <w:rPr>
                <w:rFonts w:ascii="Arial" w:hAnsi="Arial" w:cs="Arial"/>
              </w:rPr>
            </w:pPr>
            <w:r w:rsidRPr="0069159E">
              <w:rPr>
                <w:rFonts w:ascii="Arial" w:hAnsi="Arial" w:cs="Arial"/>
              </w:rPr>
              <w:t>~</w:t>
            </w:r>
            <w:r w:rsidRPr="0069159E">
              <w:rPr>
                <w:rFonts w:ascii="Arial" w:hAnsi="Arial" w:cs="Arial"/>
                <w:b/>
                <w:bCs/>
              </w:rPr>
              <w:t>US$200M / nearly ₱5B</w:t>
            </w:r>
            <w:r w:rsidRPr="0069159E">
              <w:rPr>
                <w:rFonts w:ascii="Arial" w:hAnsi="Arial" w:cs="Arial"/>
              </w:rPr>
              <w:t>damage; 214 deaths + 132 missing</w:t>
            </w:r>
          </w:p>
        </w:tc>
        <w:tc>
          <w:tcPr>
            <w:tcW w:w="3171" w:type="dxa"/>
            <w:hideMark/>
          </w:tcPr>
          <w:p w14:paraId="1ADAF5D7" w14:textId="77777777" w:rsidR="0069159E" w:rsidRPr="0069159E" w:rsidRDefault="0069159E" w:rsidP="0069159E">
            <w:pPr>
              <w:rPr>
                <w:rFonts w:ascii="Arial" w:hAnsi="Arial" w:cs="Arial"/>
              </w:rPr>
            </w:pPr>
            <w:r w:rsidRPr="0069159E">
              <w:rPr>
                <w:rFonts w:ascii="Arial" w:hAnsi="Arial" w:cs="Arial"/>
                <w:b/>
                <w:bCs/>
              </w:rPr>
              <w:t>76 cities/municipalities</w:t>
            </w:r>
            <w:r w:rsidRPr="0069159E">
              <w:rPr>
                <w:rFonts w:ascii="Arial" w:hAnsi="Arial" w:cs="Arial"/>
              </w:rPr>
              <w:t> reported power outages; duration not clearly quantified</w:t>
            </w:r>
          </w:p>
        </w:tc>
        <w:tc>
          <w:tcPr>
            <w:tcW w:w="1858" w:type="dxa"/>
            <w:hideMark/>
          </w:tcPr>
          <w:p w14:paraId="5D160827" w14:textId="77777777" w:rsidR="0069159E" w:rsidRPr="0069159E" w:rsidRDefault="0069159E" w:rsidP="0069159E">
            <w:pPr>
              <w:rPr>
                <w:rFonts w:ascii="Arial" w:hAnsi="Arial" w:cs="Arial"/>
              </w:rPr>
            </w:pPr>
            <w:r w:rsidRPr="0069159E">
              <w:rPr>
                <w:rFonts w:ascii="Arial" w:hAnsi="Arial" w:cs="Arial"/>
              </w:rPr>
              <w:t xml:space="preserve">Rainfall/landslide event; tests whether NTL recovery captures </w:t>
            </w:r>
            <w:r w:rsidRPr="0069159E">
              <w:rPr>
                <w:rFonts w:ascii="Arial" w:hAnsi="Arial" w:cs="Arial"/>
                <w:b/>
                <w:bCs/>
              </w:rPr>
              <w:t>functional disruption beyond wind damage</w:t>
            </w:r>
          </w:p>
        </w:tc>
      </w:tr>
    </w:tbl>
    <w:p w14:paraId="33D784B3" w14:textId="77777777" w:rsidR="0069159E" w:rsidRDefault="0069159E" w:rsidP="0069159E"/>
    <w:p w14:paraId="143A624A" w14:textId="77777777" w:rsidR="0069159E" w:rsidRPr="0069159E" w:rsidRDefault="0069159E" w:rsidP="0069159E">
      <w:pPr>
        <w:rPr>
          <w:rFonts w:ascii="Arial" w:hAnsi="Arial" w:cs="Arial"/>
          <w:sz w:val="24"/>
          <w:szCs w:val="24"/>
        </w:rPr>
      </w:pPr>
      <w:r w:rsidRPr="0069159E">
        <w:rPr>
          <w:rFonts w:ascii="Arial" w:hAnsi="Arial" w:cs="Arial"/>
          <w:b/>
          <w:bCs/>
          <w:sz w:val="24"/>
          <w:szCs w:val="24"/>
        </w:rPr>
        <w:t>General / official datasets</w:t>
      </w:r>
    </w:p>
    <w:p w14:paraId="1ED96F4D" w14:textId="77777777" w:rsidR="0069159E" w:rsidRPr="0069159E" w:rsidRDefault="0069159E" w:rsidP="0069159E">
      <w:pPr>
        <w:pStyle w:val="ListParagraph"/>
        <w:numPr>
          <w:ilvl w:val="0"/>
          <w:numId w:val="16"/>
        </w:numPr>
        <w:rPr>
          <w:rFonts w:ascii="Arial" w:hAnsi="Arial" w:cs="Arial"/>
          <w:sz w:val="24"/>
          <w:szCs w:val="24"/>
        </w:rPr>
      </w:pPr>
      <w:proofErr w:type="spellStart"/>
      <w:r w:rsidRPr="0069159E">
        <w:rPr>
          <w:rFonts w:ascii="Arial" w:hAnsi="Arial" w:cs="Arial"/>
          <w:sz w:val="24"/>
          <w:szCs w:val="24"/>
        </w:rPr>
        <w:t>IBTrACS</w:t>
      </w:r>
      <w:proofErr w:type="spellEnd"/>
      <w:r w:rsidRPr="0069159E">
        <w:rPr>
          <w:rFonts w:ascii="Arial" w:hAnsi="Arial" w:cs="Arial"/>
          <w:sz w:val="24"/>
          <w:szCs w:val="24"/>
        </w:rPr>
        <w:t xml:space="preserve"> tropical cyclone archive: </w:t>
      </w:r>
      <w:hyperlink r:id="rId37" w:history="1">
        <w:r w:rsidRPr="0069159E">
          <w:rPr>
            <w:rStyle w:val="Hyperlink"/>
            <w:rFonts w:ascii="Arial" w:hAnsi="Arial" w:cs="Arial"/>
            <w:sz w:val="24"/>
            <w:szCs w:val="24"/>
          </w:rPr>
          <w:t>https://www.ncei.noaa.gov/products/international-best-track-archive</w:t>
        </w:r>
      </w:hyperlink>
    </w:p>
    <w:p w14:paraId="168F9C37" w14:textId="77777777" w:rsidR="0069159E" w:rsidRPr="0069159E" w:rsidRDefault="0069159E" w:rsidP="0069159E">
      <w:pPr>
        <w:pStyle w:val="ListParagraph"/>
        <w:numPr>
          <w:ilvl w:val="0"/>
          <w:numId w:val="16"/>
        </w:numPr>
        <w:rPr>
          <w:rFonts w:ascii="Arial" w:hAnsi="Arial" w:cs="Arial"/>
          <w:sz w:val="24"/>
          <w:szCs w:val="24"/>
        </w:rPr>
      </w:pPr>
      <w:r w:rsidRPr="0069159E">
        <w:rPr>
          <w:rFonts w:ascii="Arial" w:hAnsi="Arial" w:cs="Arial"/>
          <w:sz w:val="24"/>
          <w:szCs w:val="24"/>
        </w:rPr>
        <w:t>PAGASA tropical cyclone information: </w:t>
      </w:r>
      <w:hyperlink r:id="rId38" w:history="1">
        <w:r w:rsidRPr="0069159E">
          <w:rPr>
            <w:rStyle w:val="Hyperlink"/>
            <w:rFonts w:ascii="Arial" w:hAnsi="Arial" w:cs="Arial"/>
            <w:sz w:val="24"/>
            <w:szCs w:val="24"/>
          </w:rPr>
          <w:t>https://www.pagasa.dost.gov.ph/tropical-cyclone</w:t>
        </w:r>
      </w:hyperlink>
    </w:p>
    <w:p w14:paraId="1E68A926" w14:textId="77777777" w:rsidR="0069159E" w:rsidRPr="0069159E" w:rsidRDefault="0069159E" w:rsidP="0069159E">
      <w:pPr>
        <w:pStyle w:val="ListParagraph"/>
        <w:numPr>
          <w:ilvl w:val="0"/>
          <w:numId w:val="16"/>
        </w:numPr>
        <w:rPr>
          <w:rFonts w:ascii="Arial" w:hAnsi="Arial" w:cs="Arial"/>
          <w:sz w:val="24"/>
          <w:szCs w:val="24"/>
        </w:rPr>
      </w:pPr>
      <w:r w:rsidRPr="0069159E">
        <w:rPr>
          <w:rFonts w:ascii="Arial" w:hAnsi="Arial" w:cs="Arial"/>
          <w:sz w:val="24"/>
          <w:szCs w:val="24"/>
        </w:rPr>
        <w:t>NDRRMC monitoring dashboard / situation reports: </w:t>
      </w:r>
      <w:hyperlink r:id="rId39" w:history="1">
        <w:r w:rsidRPr="0069159E">
          <w:rPr>
            <w:rStyle w:val="Hyperlink"/>
            <w:rFonts w:ascii="Arial" w:hAnsi="Arial" w:cs="Arial"/>
            <w:sz w:val="24"/>
            <w:szCs w:val="24"/>
          </w:rPr>
          <w:t>https://monitoring-dashboard.ndrrmc.gov.ph/</w:t>
        </w:r>
      </w:hyperlink>
    </w:p>
    <w:p w14:paraId="302DCF01" w14:textId="77777777" w:rsidR="0069159E" w:rsidRPr="0069159E" w:rsidRDefault="0069159E" w:rsidP="0069159E">
      <w:pPr>
        <w:pStyle w:val="ListParagraph"/>
        <w:numPr>
          <w:ilvl w:val="0"/>
          <w:numId w:val="16"/>
        </w:numPr>
        <w:rPr>
          <w:rFonts w:ascii="Arial" w:hAnsi="Arial" w:cs="Arial"/>
          <w:sz w:val="24"/>
          <w:szCs w:val="24"/>
        </w:rPr>
      </w:pPr>
      <w:proofErr w:type="spellStart"/>
      <w:r w:rsidRPr="0069159E">
        <w:rPr>
          <w:rFonts w:ascii="Arial" w:hAnsi="Arial" w:cs="Arial"/>
          <w:sz w:val="24"/>
          <w:szCs w:val="24"/>
        </w:rPr>
        <w:t>ReliefWeb</w:t>
      </w:r>
      <w:proofErr w:type="spellEnd"/>
      <w:r w:rsidRPr="0069159E">
        <w:rPr>
          <w:rFonts w:ascii="Arial" w:hAnsi="Arial" w:cs="Arial"/>
          <w:sz w:val="24"/>
          <w:szCs w:val="24"/>
        </w:rPr>
        <w:t xml:space="preserve"> Philippines disaster updates: </w:t>
      </w:r>
      <w:hyperlink r:id="rId40" w:history="1">
        <w:r w:rsidRPr="0069159E">
          <w:rPr>
            <w:rStyle w:val="Hyperlink"/>
            <w:rFonts w:ascii="Arial" w:hAnsi="Arial" w:cs="Arial"/>
            <w:sz w:val="24"/>
            <w:szCs w:val="24"/>
          </w:rPr>
          <w:t>https://reliefweb.int/country/phl</w:t>
        </w:r>
      </w:hyperlink>
    </w:p>
    <w:p w14:paraId="686B15AE" w14:textId="77777777" w:rsidR="0069159E" w:rsidRPr="0069159E" w:rsidRDefault="0069159E" w:rsidP="0069159E">
      <w:pPr>
        <w:rPr>
          <w:rFonts w:ascii="Arial" w:hAnsi="Arial" w:cs="Arial"/>
          <w:sz w:val="24"/>
          <w:szCs w:val="24"/>
        </w:rPr>
      </w:pPr>
      <w:r w:rsidRPr="0069159E">
        <w:rPr>
          <w:rFonts w:ascii="Arial" w:hAnsi="Arial" w:cs="Arial"/>
          <w:b/>
          <w:bCs/>
          <w:sz w:val="24"/>
          <w:szCs w:val="24"/>
        </w:rPr>
        <w:t>Event-specific quick sources</w:t>
      </w:r>
    </w:p>
    <w:p w14:paraId="6F2B9684" w14:textId="77777777" w:rsidR="0069159E" w:rsidRPr="0069159E" w:rsidRDefault="0069159E" w:rsidP="0069159E">
      <w:pPr>
        <w:pStyle w:val="ListParagraph"/>
        <w:numPr>
          <w:ilvl w:val="0"/>
          <w:numId w:val="17"/>
        </w:numPr>
        <w:rPr>
          <w:rFonts w:ascii="Arial" w:hAnsi="Arial" w:cs="Arial"/>
          <w:sz w:val="24"/>
          <w:szCs w:val="24"/>
        </w:rPr>
      </w:pPr>
      <w:r w:rsidRPr="0069159E">
        <w:rPr>
          <w:rFonts w:ascii="Arial" w:hAnsi="Arial" w:cs="Arial"/>
          <w:b/>
          <w:bCs/>
          <w:sz w:val="24"/>
          <w:szCs w:val="24"/>
        </w:rPr>
        <w:t>Haiyan / Yolanda, 2013</w:t>
      </w:r>
      <w:r w:rsidRPr="0069159E">
        <w:rPr>
          <w:rFonts w:ascii="Arial" w:hAnsi="Arial" w:cs="Arial"/>
          <w:sz w:val="24"/>
          <w:szCs w:val="24"/>
        </w:rPr>
        <w:br/>
      </w:r>
      <w:hyperlink r:id="rId41" w:history="1">
        <w:r w:rsidRPr="0069159E">
          <w:rPr>
            <w:rStyle w:val="Hyperlink"/>
            <w:rFonts w:ascii="Arial" w:hAnsi="Arial" w:cs="Arial"/>
            <w:sz w:val="24"/>
            <w:szCs w:val="24"/>
          </w:rPr>
          <w:t>https://en.wikipedia.org/wiki/Typhoon_Haiyan</w:t>
        </w:r>
      </w:hyperlink>
      <w:r w:rsidRPr="0069159E">
        <w:rPr>
          <w:rFonts w:ascii="Arial" w:hAnsi="Arial" w:cs="Arial"/>
          <w:sz w:val="24"/>
          <w:szCs w:val="24"/>
        </w:rPr>
        <w:br/>
      </w:r>
      <w:hyperlink r:id="rId42" w:history="1">
        <w:r w:rsidRPr="0069159E">
          <w:rPr>
            <w:rStyle w:val="Hyperlink"/>
            <w:rFonts w:ascii="Arial" w:hAnsi="Arial" w:cs="Arial"/>
            <w:sz w:val="24"/>
            <w:szCs w:val="24"/>
          </w:rPr>
          <w:t>https://en.wikipedia.org/wiki/Effects_of_Typhoon_Haiyan_in_the_</w:t>
        </w:r>
      </w:hyperlink>
      <w:hyperlink r:id="rId43" w:history="1">
        <w:r w:rsidRPr="0069159E">
          <w:rPr>
            <w:rStyle w:val="Hyperlink"/>
            <w:rFonts w:ascii="Arial" w:hAnsi="Arial" w:cs="Arial"/>
            <w:sz w:val="24"/>
            <w:szCs w:val="24"/>
          </w:rPr>
          <w:t>Philippines</w:t>
        </w:r>
      </w:hyperlink>
    </w:p>
    <w:p w14:paraId="763A2BC7" w14:textId="77777777" w:rsidR="0069159E" w:rsidRPr="0069159E" w:rsidRDefault="0069159E" w:rsidP="0069159E">
      <w:pPr>
        <w:pStyle w:val="ListParagraph"/>
        <w:numPr>
          <w:ilvl w:val="0"/>
          <w:numId w:val="17"/>
        </w:numPr>
        <w:rPr>
          <w:rFonts w:ascii="Arial" w:hAnsi="Arial" w:cs="Arial"/>
          <w:sz w:val="24"/>
          <w:szCs w:val="24"/>
        </w:rPr>
      </w:pPr>
      <w:r w:rsidRPr="0069159E">
        <w:rPr>
          <w:rFonts w:ascii="Arial" w:hAnsi="Arial" w:cs="Arial"/>
          <w:b/>
          <w:bCs/>
          <w:sz w:val="24"/>
          <w:szCs w:val="24"/>
        </w:rPr>
        <w:lastRenderedPageBreak/>
        <w:t>Hagupit / Ruby, 2014</w:t>
      </w:r>
      <w:r w:rsidRPr="0069159E">
        <w:rPr>
          <w:rFonts w:ascii="Arial" w:hAnsi="Arial" w:cs="Arial"/>
          <w:sz w:val="24"/>
          <w:szCs w:val="24"/>
        </w:rPr>
        <w:br/>
      </w:r>
      <w:hyperlink r:id="rId44" w:history="1">
        <w:r w:rsidRPr="0069159E">
          <w:rPr>
            <w:rStyle w:val="Hyperlink"/>
            <w:rFonts w:ascii="Arial" w:hAnsi="Arial" w:cs="Arial"/>
            <w:sz w:val="24"/>
            <w:szCs w:val="24"/>
          </w:rPr>
          <w:t>https://en.wikipedia.org/wiki/Typhoon_Hagupit_(2014</w:t>
        </w:r>
      </w:hyperlink>
      <w:hyperlink r:id="rId45" w:history="1">
        <w:r w:rsidRPr="0069159E">
          <w:rPr>
            <w:rStyle w:val="Hyperlink"/>
            <w:rFonts w:ascii="Arial" w:hAnsi="Arial" w:cs="Arial"/>
            <w:sz w:val="24"/>
            <w:szCs w:val="24"/>
          </w:rPr>
          <w:t>)</w:t>
        </w:r>
      </w:hyperlink>
    </w:p>
    <w:p w14:paraId="30AE6BCD" w14:textId="77777777" w:rsidR="0069159E" w:rsidRPr="0069159E" w:rsidRDefault="0069159E" w:rsidP="0069159E">
      <w:pPr>
        <w:pStyle w:val="ListParagraph"/>
        <w:numPr>
          <w:ilvl w:val="0"/>
          <w:numId w:val="17"/>
        </w:numPr>
        <w:rPr>
          <w:rFonts w:ascii="Arial" w:hAnsi="Arial" w:cs="Arial"/>
          <w:sz w:val="24"/>
          <w:szCs w:val="24"/>
        </w:rPr>
      </w:pPr>
      <w:proofErr w:type="spellStart"/>
      <w:r w:rsidRPr="0069159E">
        <w:rPr>
          <w:rFonts w:ascii="Arial" w:hAnsi="Arial" w:cs="Arial"/>
          <w:b/>
          <w:bCs/>
          <w:sz w:val="24"/>
          <w:szCs w:val="24"/>
        </w:rPr>
        <w:t>Phanfone</w:t>
      </w:r>
      <w:proofErr w:type="spellEnd"/>
      <w:r w:rsidRPr="0069159E">
        <w:rPr>
          <w:rFonts w:ascii="Arial" w:hAnsi="Arial" w:cs="Arial"/>
          <w:b/>
          <w:bCs/>
          <w:sz w:val="24"/>
          <w:szCs w:val="24"/>
        </w:rPr>
        <w:t xml:space="preserve"> / Ursula, 2019</w:t>
      </w:r>
      <w:r w:rsidRPr="0069159E">
        <w:rPr>
          <w:rFonts w:ascii="Arial" w:hAnsi="Arial" w:cs="Arial"/>
          <w:sz w:val="24"/>
          <w:szCs w:val="24"/>
        </w:rPr>
        <w:br/>
      </w:r>
      <w:hyperlink r:id="rId46" w:history="1">
        <w:r w:rsidRPr="0069159E">
          <w:rPr>
            <w:rStyle w:val="Hyperlink"/>
            <w:rFonts w:ascii="Arial" w:hAnsi="Arial" w:cs="Arial"/>
            <w:sz w:val="24"/>
            <w:szCs w:val="24"/>
          </w:rPr>
          <w:t>https://en.wikipedia.org/wiki/Typhoon_</w:t>
        </w:r>
      </w:hyperlink>
      <w:hyperlink r:id="rId47" w:history="1">
        <w:r w:rsidRPr="0069159E">
          <w:rPr>
            <w:rStyle w:val="Hyperlink"/>
            <w:rFonts w:ascii="Arial" w:hAnsi="Arial" w:cs="Arial"/>
            <w:sz w:val="24"/>
            <w:szCs w:val="24"/>
          </w:rPr>
          <w:t>Phanfone</w:t>
        </w:r>
      </w:hyperlink>
    </w:p>
    <w:p w14:paraId="2E6A70B7" w14:textId="77777777" w:rsidR="0069159E" w:rsidRPr="0069159E" w:rsidRDefault="0069159E" w:rsidP="0069159E">
      <w:pPr>
        <w:pStyle w:val="ListParagraph"/>
        <w:numPr>
          <w:ilvl w:val="0"/>
          <w:numId w:val="17"/>
        </w:numPr>
        <w:rPr>
          <w:rFonts w:ascii="Arial" w:hAnsi="Arial" w:cs="Arial"/>
          <w:sz w:val="24"/>
          <w:szCs w:val="24"/>
        </w:rPr>
      </w:pPr>
      <w:proofErr w:type="spellStart"/>
      <w:r w:rsidRPr="0069159E">
        <w:rPr>
          <w:rFonts w:ascii="Arial" w:hAnsi="Arial" w:cs="Arial"/>
          <w:b/>
          <w:bCs/>
          <w:sz w:val="24"/>
          <w:szCs w:val="24"/>
        </w:rPr>
        <w:t>Vongfong</w:t>
      </w:r>
      <w:proofErr w:type="spellEnd"/>
      <w:r w:rsidRPr="0069159E">
        <w:rPr>
          <w:rFonts w:ascii="Arial" w:hAnsi="Arial" w:cs="Arial"/>
          <w:b/>
          <w:bCs/>
          <w:sz w:val="24"/>
          <w:szCs w:val="24"/>
        </w:rPr>
        <w:t xml:space="preserve"> / Ambo, 2020</w:t>
      </w:r>
      <w:r w:rsidRPr="0069159E">
        <w:rPr>
          <w:rFonts w:ascii="Arial" w:hAnsi="Arial" w:cs="Arial"/>
          <w:sz w:val="24"/>
          <w:szCs w:val="24"/>
        </w:rPr>
        <w:br/>
      </w:r>
      <w:hyperlink r:id="rId48" w:history="1">
        <w:r w:rsidRPr="0069159E">
          <w:rPr>
            <w:rStyle w:val="Hyperlink"/>
            <w:rFonts w:ascii="Arial" w:hAnsi="Arial" w:cs="Arial"/>
            <w:sz w:val="24"/>
            <w:szCs w:val="24"/>
          </w:rPr>
          <w:t>https://en.wikipedia.org/wiki/Typhoon_Vongfong_(2020</w:t>
        </w:r>
      </w:hyperlink>
      <w:hyperlink r:id="rId49" w:history="1">
        <w:r w:rsidRPr="0069159E">
          <w:rPr>
            <w:rStyle w:val="Hyperlink"/>
            <w:rFonts w:ascii="Arial" w:hAnsi="Arial" w:cs="Arial"/>
            <w:sz w:val="24"/>
            <w:szCs w:val="24"/>
          </w:rPr>
          <w:t>)</w:t>
        </w:r>
      </w:hyperlink>
    </w:p>
    <w:p w14:paraId="4472DCC5" w14:textId="77777777" w:rsidR="0069159E" w:rsidRPr="0069159E" w:rsidRDefault="0069159E" w:rsidP="0069159E">
      <w:pPr>
        <w:pStyle w:val="ListParagraph"/>
        <w:numPr>
          <w:ilvl w:val="0"/>
          <w:numId w:val="17"/>
        </w:numPr>
        <w:rPr>
          <w:rFonts w:ascii="Arial" w:hAnsi="Arial" w:cs="Arial"/>
          <w:sz w:val="24"/>
          <w:szCs w:val="24"/>
        </w:rPr>
      </w:pPr>
      <w:r w:rsidRPr="0069159E">
        <w:rPr>
          <w:rFonts w:ascii="Arial" w:hAnsi="Arial" w:cs="Arial"/>
          <w:b/>
          <w:bCs/>
          <w:sz w:val="24"/>
          <w:szCs w:val="24"/>
        </w:rPr>
        <w:t>Rai / Odette, 2021</w:t>
      </w:r>
      <w:r w:rsidRPr="0069159E">
        <w:rPr>
          <w:rFonts w:ascii="Arial" w:hAnsi="Arial" w:cs="Arial"/>
          <w:sz w:val="24"/>
          <w:szCs w:val="24"/>
        </w:rPr>
        <w:br/>
      </w:r>
      <w:hyperlink r:id="rId50" w:history="1">
        <w:r w:rsidRPr="0069159E">
          <w:rPr>
            <w:rStyle w:val="Hyperlink"/>
            <w:rFonts w:ascii="Arial" w:hAnsi="Arial" w:cs="Arial"/>
            <w:sz w:val="24"/>
            <w:szCs w:val="24"/>
          </w:rPr>
          <w:t>https://en.wikipedia.org/wiki/Typhoon_</w:t>
        </w:r>
      </w:hyperlink>
      <w:hyperlink r:id="rId51" w:history="1">
        <w:r w:rsidRPr="0069159E">
          <w:rPr>
            <w:rStyle w:val="Hyperlink"/>
            <w:rFonts w:ascii="Arial" w:hAnsi="Arial" w:cs="Arial"/>
            <w:sz w:val="24"/>
            <w:szCs w:val="24"/>
          </w:rPr>
          <w:t>Rai</w:t>
        </w:r>
      </w:hyperlink>
    </w:p>
    <w:p w14:paraId="058C4591" w14:textId="77777777" w:rsidR="0069159E" w:rsidRPr="0069159E" w:rsidRDefault="0069159E" w:rsidP="0069159E">
      <w:pPr>
        <w:pStyle w:val="ListParagraph"/>
        <w:numPr>
          <w:ilvl w:val="0"/>
          <w:numId w:val="17"/>
        </w:numPr>
        <w:rPr>
          <w:rFonts w:ascii="Arial" w:hAnsi="Arial" w:cs="Arial"/>
          <w:sz w:val="24"/>
          <w:szCs w:val="24"/>
        </w:rPr>
      </w:pPr>
      <w:r w:rsidRPr="0069159E">
        <w:rPr>
          <w:rFonts w:ascii="Arial" w:hAnsi="Arial" w:cs="Arial"/>
          <w:b/>
          <w:bCs/>
          <w:sz w:val="24"/>
          <w:szCs w:val="24"/>
        </w:rPr>
        <w:t>Megi / Agaton, 2022</w:t>
      </w:r>
      <w:r w:rsidRPr="0069159E">
        <w:rPr>
          <w:rFonts w:ascii="Arial" w:hAnsi="Arial" w:cs="Arial"/>
          <w:sz w:val="24"/>
          <w:szCs w:val="24"/>
        </w:rPr>
        <w:br/>
      </w:r>
      <w:hyperlink r:id="rId52" w:history="1">
        <w:r w:rsidRPr="0069159E">
          <w:rPr>
            <w:rStyle w:val="Hyperlink"/>
            <w:rFonts w:ascii="Arial" w:hAnsi="Arial" w:cs="Arial"/>
            <w:sz w:val="24"/>
            <w:szCs w:val="24"/>
          </w:rPr>
          <w:t>https://en.wikipedia.org/wiki/Tropical_Storm_</w:t>
        </w:r>
      </w:hyperlink>
      <w:hyperlink r:id="rId53" w:history="1">
        <w:r w:rsidRPr="0069159E">
          <w:rPr>
            <w:rStyle w:val="Hyperlink"/>
            <w:rFonts w:ascii="Arial" w:hAnsi="Arial" w:cs="Arial"/>
            <w:sz w:val="24"/>
            <w:szCs w:val="24"/>
          </w:rPr>
          <w:t>Megi</w:t>
        </w:r>
      </w:hyperlink>
    </w:p>
    <w:p w14:paraId="1E141E4B" w14:textId="77777777" w:rsidR="0069159E" w:rsidRPr="0069159E" w:rsidRDefault="0069159E" w:rsidP="0069159E"/>
    <w:p w14:paraId="741CE922" w14:textId="77777777" w:rsidR="00CC4CE9" w:rsidRDefault="00CC4CE9" w:rsidP="008D4334">
      <w:pPr>
        <w:pStyle w:val="Heading1"/>
        <w:spacing w:line="240" w:lineRule="auto"/>
        <w:rPr>
          <w:rFonts w:ascii="Arial" w:hAnsi="Arial" w:cs="Arial"/>
        </w:rPr>
      </w:pPr>
    </w:p>
    <w:p w14:paraId="759F8A7D" w14:textId="77777777" w:rsidR="0069159E" w:rsidRPr="0069159E" w:rsidRDefault="0069159E" w:rsidP="0069159E"/>
    <w:p w14:paraId="51FF63BA" w14:textId="77777777" w:rsidR="0069159E" w:rsidRPr="0069159E" w:rsidRDefault="0069159E" w:rsidP="0069159E"/>
    <w:p w14:paraId="1FEF134A" w14:textId="311DC2BC" w:rsidR="00CC4CE9" w:rsidRPr="001B71BE" w:rsidRDefault="00CC4CE9" w:rsidP="008D4334">
      <w:pPr>
        <w:pStyle w:val="Heading1"/>
        <w:spacing w:line="240" w:lineRule="auto"/>
        <w:rPr>
          <w:rFonts w:ascii="Arial" w:hAnsi="Arial" w:cs="Arial"/>
          <w:color w:val="000000" w:themeColor="text1"/>
          <w:sz w:val="28"/>
          <w:szCs w:val="32"/>
        </w:rPr>
      </w:pPr>
      <w:r>
        <w:rPr>
          <w:rFonts w:ascii="Arial" w:hAnsi="Arial" w:cs="Arial"/>
          <w:color w:val="000000" w:themeColor="text1"/>
          <w:sz w:val="28"/>
          <w:szCs w:val="32"/>
        </w:rPr>
        <w:t xml:space="preserve">Chapter </w:t>
      </w:r>
      <w:r w:rsidR="0069159E">
        <w:rPr>
          <w:rFonts w:ascii="Arial" w:hAnsi="Arial" w:cs="Arial"/>
          <w:color w:val="000000" w:themeColor="text1"/>
          <w:sz w:val="28"/>
          <w:szCs w:val="32"/>
        </w:rPr>
        <w:t>5</w:t>
      </w:r>
      <w:r w:rsidRPr="001B71BE">
        <w:rPr>
          <w:rFonts w:ascii="Arial" w:hAnsi="Arial" w:cs="Arial"/>
          <w:color w:val="000000" w:themeColor="text1"/>
          <w:sz w:val="28"/>
          <w:szCs w:val="32"/>
        </w:rPr>
        <w:t xml:space="preserve">: </w:t>
      </w:r>
      <w:r>
        <w:rPr>
          <w:rFonts w:ascii="Arial" w:hAnsi="Arial" w:cs="Arial"/>
          <w:color w:val="000000" w:themeColor="text1"/>
          <w:sz w:val="28"/>
          <w:szCs w:val="32"/>
        </w:rPr>
        <w:t>Foundational Related Literature</w:t>
      </w:r>
    </w:p>
    <w:p w14:paraId="31C3D33A" w14:textId="77777777" w:rsidR="00CC4CE9" w:rsidRDefault="00CC4CE9" w:rsidP="008D4334">
      <w:pPr>
        <w:pStyle w:val="Citationparagraph"/>
        <w:spacing w:line="240" w:lineRule="auto"/>
        <w:rPr>
          <w:rFonts w:ascii="Arial" w:hAnsi="Arial" w:cs="Arial"/>
        </w:rPr>
      </w:pPr>
    </w:p>
    <w:p w14:paraId="408B2DA4" w14:textId="77777777" w:rsidR="00CC4CE9" w:rsidRPr="0021357D" w:rsidRDefault="00CC4CE9" w:rsidP="008D4334">
      <w:pPr>
        <w:pStyle w:val="Heading2"/>
        <w:spacing w:line="240" w:lineRule="auto"/>
        <w:rPr>
          <w:rFonts w:ascii="Arial" w:hAnsi="Arial" w:cs="Arial"/>
          <w:color w:val="0432FF"/>
          <w:sz w:val="16"/>
          <w:szCs w:val="16"/>
        </w:rPr>
      </w:pPr>
      <w:r w:rsidRPr="0021357D">
        <w:rPr>
          <w:rFonts w:ascii="Arial" w:hAnsi="Arial" w:cs="Arial"/>
          <w:color w:val="0432FF"/>
          <w:sz w:val="16"/>
          <w:szCs w:val="16"/>
        </w:rPr>
        <w:t xml:space="preserve">Elvidge et al. - Mapping City Lights with Nighttime Data from the DMSP Operational </w:t>
      </w:r>
      <w:proofErr w:type="spellStart"/>
      <w:r w:rsidRPr="0021357D">
        <w:rPr>
          <w:rFonts w:ascii="Arial" w:hAnsi="Arial" w:cs="Arial"/>
          <w:color w:val="0432FF"/>
          <w:sz w:val="16"/>
          <w:szCs w:val="16"/>
        </w:rPr>
        <w:t>Linescan</w:t>
      </w:r>
      <w:proofErr w:type="spellEnd"/>
      <w:r w:rsidRPr="0021357D">
        <w:rPr>
          <w:rFonts w:ascii="Arial" w:hAnsi="Arial" w:cs="Arial"/>
          <w:color w:val="0432FF"/>
          <w:sz w:val="16"/>
          <w:szCs w:val="16"/>
        </w:rPr>
        <w:t xml:space="preserve"> System</w:t>
      </w:r>
    </w:p>
    <w:p w14:paraId="3662B0B0"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Elvidge et al. (1997) established one of the foundational applications of nighttime satellite data by mapping city lights using DMSP-OLS. The paper demonstrates that persistent artificial lighting can identify human settlements and urbanized areas at global scale. Although the sensor was coarse and limited by saturation and blooming, the study created the basis for using nocturnal radiance as an indicator of human presence, infrastructure, and socioeconomic activity.</w:t>
      </w:r>
    </w:p>
    <w:p w14:paraId="03212E0D"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 xml:space="preserve">Elvidge, C. D., Baugh, K. E., Kihn, E. A., Kroehl, H. W., Davis, E. R., &amp; Davis, C. W. (1997). Mapping city lights with nighttime data from the DMSP Operational </w:t>
      </w:r>
      <w:proofErr w:type="spellStart"/>
      <w:r w:rsidRPr="0021357D">
        <w:rPr>
          <w:rFonts w:ascii="Arial" w:hAnsi="Arial" w:cs="Arial"/>
          <w:sz w:val="16"/>
          <w:szCs w:val="16"/>
        </w:rPr>
        <w:t>Linescan</w:t>
      </w:r>
      <w:proofErr w:type="spellEnd"/>
      <w:r w:rsidRPr="0021357D">
        <w:rPr>
          <w:rFonts w:ascii="Arial" w:hAnsi="Arial" w:cs="Arial"/>
          <w:sz w:val="16"/>
          <w:szCs w:val="16"/>
        </w:rPr>
        <w:t xml:space="preserve"> System. Photogrammetric Engineering &amp; Remote Sensing, 63(6), 727-734. DOI not assigned.</w:t>
      </w:r>
    </w:p>
    <w:p w14:paraId="2AF06198" w14:textId="77777777" w:rsidR="00CC4CE9" w:rsidRPr="0021357D" w:rsidRDefault="00CC4CE9" w:rsidP="008D4334">
      <w:pPr>
        <w:pStyle w:val="Heading2"/>
        <w:spacing w:line="240" w:lineRule="auto"/>
        <w:rPr>
          <w:rFonts w:ascii="Arial" w:hAnsi="Arial" w:cs="Arial"/>
          <w:color w:val="0432FF"/>
          <w:sz w:val="16"/>
          <w:szCs w:val="16"/>
        </w:rPr>
      </w:pPr>
      <w:r w:rsidRPr="0021357D">
        <w:rPr>
          <w:rFonts w:ascii="Arial" w:hAnsi="Arial" w:cs="Arial"/>
          <w:color w:val="0432FF"/>
          <w:sz w:val="16"/>
          <w:szCs w:val="16"/>
        </w:rPr>
        <w:t>Elvidge et al. - Radiance Calibration of DMSP-OLS Low-Light Imaging Data of Human Settlements</w:t>
      </w:r>
    </w:p>
    <w:p w14:paraId="62DCD8E3"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Elvidge et al. (1999) address radiance calibration for DMSP-OLS low-light imaging. The study is important because early nighttime-light products often lacked stable radiometric calibration, limiting quantitative comparison across time and space. By focusing on calibration, the paper supports the transition from visual mapping of lights toward measurable radiance-based analysis of human settlements and activity.</w:t>
      </w:r>
    </w:p>
    <w:p w14:paraId="4D79770C"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 xml:space="preserve">Elvidge, C. D., Baugh, K. E., Dietz, J. B., Bland, T., Sutton, P. C., &amp; </w:t>
      </w:r>
      <w:proofErr w:type="spellStart"/>
      <w:r w:rsidRPr="0021357D">
        <w:rPr>
          <w:rFonts w:ascii="Arial" w:hAnsi="Arial" w:cs="Arial"/>
          <w:sz w:val="16"/>
          <w:szCs w:val="16"/>
        </w:rPr>
        <w:t>Kroehl</w:t>
      </w:r>
      <w:proofErr w:type="spellEnd"/>
      <w:r w:rsidRPr="0021357D">
        <w:rPr>
          <w:rFonts w:ascii="Arial" w:hAnsi="Arial" w:cs="Arial"/>
          <w:sz w:val="16"/>
          <w:szCs w:val="16"/>
        </w:rPr>
        <w:t>, H. W. (1999). Radiance calibration of DMSP-OLS low-light imaging data of human settlements. Remote Sensing of Environment, 68(1), 77-88. https://doi.org/10.1016/S0034-4257(98)00098-7</w:t>
      </w:r>
    </w:p>
    <w:p w14:paraId="47D8E77E" w14:textId="77777777" w:rsidR="00CC4CE9" w:rsidRPr="0021357D" w:rsidRDefault="00CC4CE9" w:rsidP="008D4334">
      <w:pPr>
        <w:pStyle w:val="Heading2"/>
        <w:spacing w:line="240" w:lineRule="auto"/>
        <w:rPr>
          <w:rFonts w:ascii="Arial" w:hAnsi="Arial" w:cs="Arial"/>
          <w:color w:val="0432FF"/>
          <w:sz w:val="16"/>
          <w:szCs w:val="16"/>
        </w:rPr>
      </w:pPr>
      <w:r w:rsidRPr="0021357D">
        <w:rPr>
          <w:rFonts w:ascii="Arial" w:hAnsi="Arial" w:cs="Arial"/>
          <w:color w:val="0432FF"/>
          <w:sz w:val="16"/>
          <w:szCs w:val="16"/>
        </w:rPr>
        <w:t>Sullivan - A 10 km Resolution Image of the Entire Night-Time Earth</w:t>
      </w:r>
    </w:p>
    <w:p w14:paraId="6735A855"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Sullivan (1989) presents an early global image of Earth at night based on cloud-free satellite observations in the visible-to-near-infrared range. The work predates most modern NTL applications but is historically important because it demonstrated the possibility of imaging global human lighting patterns from space. It contributed to the scientific foundation for later DMSP-OLS and VIIRS-based analyses of settlement, energy use, and urbanization.</w:t>
      </w:r>
    </w:p>
    <w:p w14:paraId="1087C3BC"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Sullivan, W. T. (1989). A 10 km resolution image of the entire night-time Earth based on cloud-free satellite photographs in the 400-1100 nm band. International Journal of Remote Sensing, 10(1), 1-5. https://doi.org/10.1080/01431168908903835</w:t>
      </w:r>
    </w:p>
    <w:p w14:paraId="436CCAA1" w14:textId="77777777" w:rsidR="00CC4CE9" w:rsidRPr="0021357D" w:rsidRDefault="00CC4CE9" w:rsidP="008D4334">
      <w:pPr>
        <w:pStyle w:val="Heading2"/>
        <w:spacing w:line="240" w:lineRule="auto"/>
        <w:rPr>
          <w:rFonts w:ascii="Arial" w:hAnsi="Arial" w:cs="Arial"/>
          <w:color w:val="0432FF"/>
          <w:sz w:val="16"/>
          <w:szCs w:val="16"/>
        </w:rPr>
      </w:pPr>
      <w:r w:rsidRPr="0021357D">
        <w:rPr>
          <w:rFonts w:ascii="Arial" w:hAnsi="Arial" w:cs="Arial"/>
          <w:color w:val="0432FF"/>
          <w:sz w:val="16"/>
          <w:szCs w:val="16"/>
        </w:rPr>
        <w:t>Small et al. - Spatial Analysis of Global Urban Extent from DMSP-OLS Night Lights</w:t>
      </w:r>
    </w:p>
    <w:p w14:paraId="3FA65955"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Small et al. (2005) analyze global urban extent using DMSP-OLS nighttime lights. The study examines how night lights represent urban spatial structure and highlights issues such as blooming, saturation, and spatial mismatch between lit areas and actual built-up extent. It is a foundational reference for understanding both the value and limitations of NTL as an urban proxy.</w:t>
      </w:r>
    </w:p>
    <w:p w14:paraId="6BBDD95C"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Small, C., Pozzi, F., &amp; Elvidge, C. D. (2005). Spatial analysis of global urban extent from DMSP-OLS night lights. Remote Sensing of Environment, 96(3-4), 277-291. https://doi.org/10.1016/j.rse.2005.02.002</w:t>
      </w:r>
    </w:p>
    <w:p w14:paraId="6D488333" w14:textId="77777777" w:rsidR="00CC4CE9" w:rsidRPr="0021357D" w:rsidRDefault="00CC4CE9" w:rsidP="008D4334">
      <w:pPr>
        <w:pStyle w:val="Heading2"/>
        <w:spacing w:line="240" w:lineRule="auto"/>
        <w:rPr>
          <w:rFonts w:ascii="Arial" w:hAnsi="Arial" w:cs="Arial"/>
          <w:color w:val="0432FF"/>
          <w:sz w:val="16"/>
          <w:szCs w:val="16"/>
        </w:rPr>
      </w:pPr>
      <w:r w:rsidRPr="0021357D">
        <w:rPr>
          <w:rFonts w:ascii="Arial" w:hAnsi="Arial" w:cs="Arial"/>
          <w:color w:val="0432FF"/>
          <w:sz w:val="16"/>
          <w:szCs w:val="16"/>
        </w:rPr>
        <w:t>Doll et al. - Mapping Regional Economic Activity from Night-Time Light Satellite Imagery</w:t>
      </w:r>
    </w:p>
    <w:p w14:paraId="11DE2135"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Doll et al. (2006) use nighttime-light imagery to map regional economic activity. The paper links spatial patterns of light intensity with economic output and demonstrates the value of NTL for disaggregating economic activity where conventional statistics are spatially coarse. It is part of the early economic-proxy literature that later informed disaster-impact studies using light reductions as indicators of economic disruption.</w:t>
      </w:r>
    </w:p>
    <w:p w14:paraId="11ACB477"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Doll, C. N. H., Muller, J.-P., &amp; Morley, J. G. (2006). Mapping regional economic activity from night-time light satellite imagery. Ecological Economics, 57(1), 75-92. https://doi.org/10.1016/j.ecolecon.2005.03.007</w:t>
      </w:r>
    </w:p>
    <w:p w14:paraId="2993F447" w14:textId="77777777" w:rsidR="00CC4CE9" w:rsidRPr="0021357D" w:rsidRDefault="00CC4CE9" w:rsidP="008D4334">
      <w:pPr>
        <w:pStyle w:val="Heading2"/>
        <w:spacing w:line="240" w:lineRule="auto"/>
        <w:rPr>
          <w:rFonts w:ascii="Arial" w:hAnsi="Arial" w:cs="Arial"/>
          <w:color w:val="0432FF"/>
          <w:sz w:val="16"/>
          <w:szCs w:val="16"/>
        </w:rPr>
      </w:pPr>
      <w:r w:rsidRPr="0021357D">
        <w:rPr>
          <w:rFonts w:ascii="Arial" w:hAnsi="Arial" w:cs="Arial"/>
          <w:color w:val="0432FF"/>
          <w:sz w:val="16"/>
          <w:szCs w:val="16"/>
        </w:rPr>
        <w:lastRenderedPageBreak/>
        <w:t>Chen and Nordhaus - Using Luminosity Data as a Proxy for Economic Statistics</w:t>
      </w:r>
    </w:p>
    <w:p w14:paraId="2C0F005E"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Chen and Nordhaus (2011) evaluate luminosity data as a proxy for economic statistics. The paper compares nighttime lights with conventional economic measures and argues that luminosity is particularly useful where statistical systems are weak, delayed, or spatially aggregated. The study is central to the socioeconomic interpretation of NTL, while also implying that radiance should be treated as a proxy whose meaning depends on context and validation.</w:t>
      </w:r>
    </w:p>
    <w:p w14:paraId="568DCEF1"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Chen, X., &amp; Nordhaus, W. D. (2011). Using luminosity data as a proxy for economic statistics. Proceedings of the National Academy of Sciences, 108(21), 8589-8594. https://doi.org/10.1073/pnas.1017031108</w:t>
      </w:r>
    </w:p>
    <w:p w14:paraId="1948E79E" w14:textId="77777777" w:rsidR="00CC4CE9" w:rsidRPr="0021357D" w:rsidRDefault="00CC4CE9" w:rsidP="008D4334">
      <w:pPr>
        <w:pStyle w:val="Heading2"/>
        <w:spacing w:line="240" w:lineRule="auto"/>
        <w:rPr>
          <w:rFonts w:ascii="Arial" w:hAnsi="Arial" w:cs="Arial"/>
          <w:color w:val="0432FF"/>
          <w:sz w:val="16"/>
          <w:szCs w:val="16"/>
        </w:rPr>
      </w:pPr>
      <w:r w:rsidRPr="0021357D">
        <w:rPr>
          <w:rFonts w:ascii="Arial" w:hAnsi="Arial" w:cs="Arial"/>
          <w:color w:val="0432FF"/>
          <w:sz w:val="16"/>
          <w:szCs w:val="16"/>
        </w:rPr>
        <w:t>Henderson et al. - Measuring Economic Growth from Outer Space</w:t>
      </w:r>
    </w:p>
    <w:p w14:paraId="1CEA59BD"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Henderson et al. (2012) use nighttime lights to improve estimates of economic growth, especially in countries where official data are limited or uncertain. The paper combines luminosity and national accounts to estimate income growth, demonstrating that satellite-observed lights contain information about economic activity. It is a landmark study in the economic-use tradition of NTL remote sensing.</w:t>
      </w:r>
    </w:p>
    <w:p w14:paraId="65816A1F"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Henderson, J. V., Storeygard, A., &amp; Weil, D. N. (2012). Measuring economic growth from outer space. American Economic Review, 102(2), 994-1028. https://doi.org/10.1257/aer.102.2.994</w:t>
      </w:r>
    </w:p>
    <w:p w14:paraId="30D10586" w14:textId="77777777" w:rsidR="00CC4CE9" w:rsidRPr="0021357D" w:rsidRDefault="00CC4CE9" w:rsidP="008D4334">
      <w:pPr>
        <w:pStyle w:val="Heading2"/>
        <w:spacing w:line="240" w:lineRule="auto"/>
        <w:rPr>
          <w:rFonts w:ascii="Arial" w:hAnsi="Arial" w:cs="Arial"/>
          <w:color w:val="0432FF"/>
          <w:sz w:val="16"/>
          <w:szCs w:val="16"/>
        </w:rPr>
      </w:pPr>
      <w:r w:rsidRPr="0021357D">
        <w:rPr>
          <w:rFonts w:ascii="Arial" w:hAnsi="Arial" w:cs="Arial"/>
          <w:color w:val="0432FF"/>
          <w:sz w:val="16"/>
          <w:szCs w:val="16"/>
        </w:rPr>
        <w:t>Yu et al. - Poverty Evaluation Using NPP-VIIRS Nighttime Light Composite Data at the County Level in China</w:t>
      </w:r>
    </w:p>
    <w:p w14:paraId="5DCDAC7C"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Yu et al. (2015) use NPP-VIIRS nighttime-light composites to estimate poverty at county scale in China. The study constructs light-based indicators and evaluates their relationship with an integrated poverty index. It demonstrates how VIIRS data improved socioeconomic applications relative to DMSP-OLS by offering better radiometric performance and reduced saturation.</w:t>
      </w:r>
    </w:p>
    <w:p w14:paraId="365F03D7" w14:textId="6170103D"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 xml:space="preserve">Yu, B., Shi, K., Hu, Y., Huang, C., Chen, Z., &amp; Wu, J. (2015). Poverty evaluation using NPP-VIIRS nighttime light composite data at the county level in China. IEEE Journal of Selected Topics in Applied Earth Observations and Remote Sensing, 8(3), 1217-1229. </w:t>
      </w:r>
    </w:p>
    <w:p w14:paraId="76230D11" w14:textId="77777777" w:rsidR="00CC4CE9" w:rsidRPr="0021357D" w:rsidRDefault="00CC4CE9" w:rsidP="008D4334">
      <w:pPr>
        <w:pStyle w:val="Heading2"/>
        <w:spacing w:line="240" w:lineRule="auto"/>
        <w:rPr>
          <w:rFonts w:ascii="Arial" w:hAnsi="Arial" w:cs="Arial"/>
          <w:color w:val="0432FF"/>
          <w:sz w:val="16"/>
          <w:szCs w:val="16"/>
        </w:rPr>
      </w:pPr>
      <w:r w:rsidRPr="0021357D">
        <w:rPr>
          <w:rFonts w:ascii="Arial" w:hAnsi="Arial" w:cs="Arial"/>
          <w:color w:val="0432FF"/>
          <w:sz w:val="16"/>
          <w:szCs w:val="16"/>
        </w:rPr>
        <w:t>Jean et al. - Combining Satellite Imagery and Machine Learning to Predict Poverty</w:t>
      </w:r>
    </w:p>
    <w:p w14:paraId="39B94DB2"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Jean et al. (2016) combine daytime satellite imagery, nighttime lights, and machine learning to estimate poverty in African countries. The study uses NTL as a weak supervisory signal for learning features from high-resolution daytime imagery and predicting asset wealth. It is a major reference for using NTL with other spatial data to infer socioeconomic conditions in data-poor contexts.</w:t>
      </w:r>
    </w:p>
    <w:p w14:paraId="14E67D8F"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Jean, N., Burke, M., Xie, M., Davis, W. M., Lobell, D. B., &amp; Ermon, S. (2016). Combining satellite imagery and machine learning to predict poverty. Science, 353(6301), 790-794. https://doi.org/10.1126/science.aaf7894</w:t>
      </w:r>
    </w:p>
    <w:p w14:paraId="696B8CE5" w14:textId="77777777" w:rsidR="00CC4CE9" w:rsidRPr="0021357D" w:rsidRDefault="00CC4CE9" w:rsidP="008D4334">
      <w:pPr>
        <w:pStyle w:val="Heading2"/>
        <w:spacing w:line="240" w:lineRule="auto"/>
        <w:rPr>
          <w:rFonts w:ascii="Arial" w:hAnsi="Arial" w:cs="Arial"/>
          <w:color w:val="0432FF"/>
          <w:sz w:val="16"/>
          <w:szCs w:val="16"/>
        </w:rPr>
      </w:pPr>
      <w:proofErr w:type="spellStart"/>
      <w:r w:rsidRPr="0021357D">
        <w:rPr>
          <w:rFonts w:ascii="Arial" w:hAnsi="Arial" w:cs="Arial"/>
          <w:color w:val="0432FF"/>
          <w:sz w:val="16"/>
          <w:szCs w:val="16"/>
        </w:rPr>
        <w:t>Tingzon</w:t>
      </w:r>
      <w:proofErr w:type="spellEnd"/>
      <w:r w:rsidRPr="0021357D">
        <w:rPr>
          <w:rFonts w:ascii="Arial" w:hAnsi="Arial" w:cs="Arial"/>
          <w:color w:val="0432FF"/>
          <w:sz w:val="16"/>
          <w:szCs w:val="16"/>
        </w:rPr>
        <w:t xml:space="preserve"> et al. - Mapping Poverty in the Philippines Using Machine Learning, Satellite Imagery, and Crowd-Sourced Geospatial Information</w:t>
      </w:r>
    </w:p>
    <w:p w14:paraId="5E092500" w14:textId="77777777" w:rsidR="00CC4CE9" w:rsidRPr="0021357D" w:rsidRDefault="00CC4CE9" w:rsidP="008D4334">
      <w:pPr>
        <w:spacing w:line="240" w:lineRule="auto"/>
        <w:rPr>
          <w:rFonts w:ascii="Arial" w:hAnsi="Arial" w:cs="Arial"/>
          <w:sz w:val="16"/>
          <w:szCs w:val="16"/>
        </w:rPr>
      </w:pPr>
      <w:proofErr w:type="spellStart"/>
      <w:r w:rsidRPr="0021357D">
        <w:rPr>
          <w:rFonts w:ascii="Arial" w:hAnsi="Arial" w:cs="Arial"/>
          <w:sz w:val="16"/>
          <w:szCs w:val="16"/>
        </w:rPr>
        <w:t>Tingzon</w:t>
      </w:r>
      <w:proofErr w:type="spellEnd"/>
      <w:r w:rsidRPr="0021357D">
        <w:rPr>
          <w:rFonts w:ascii="Arial" w:hAnsi="Arial" w:cs="Arial"/>
          <w:sz w:val="16"/>
          <w:szCs w:val="16"/>
        </w:rPr>
        <w:t xml:space="preserve"> et al. (2019) adapt satellite-based poverty mapping to the Philippine context by combining machine learning, satellite imagery, and crowd-sourced geospatial information. The study generates fine-scale poverty estimates and demonstrates the value of integrating remotely sensed and volunteered geographic data. It is relevant to Philippine NTL literature because it shows how geospatial proxies can supplement sparse or aggregated socioeconomic statistics.</w:t>
      </w:r>
    </w:p>
    <w:p w14:paraId="1FDD5BDA" w14:textId="77777777" w:rsidR="00CC4CE9" w:rsidRPr="0021357D" w:rsidRDefault="00CC4CE9" w:rsidP="008D4334">
      <w:pPr>
        <w:pStyle w:val="Citationparagraph"/>
        <w:spacing w:line="240" w:lineRule="auto"/>
        <w:rPr>
          <w:rFonts w:ascii="Arial" w:hAnsi="Arial" w:cs="Arial"/>
          <w:sz w:val="16"/>
          <w:szCs w:val="16"/>
        </w:rPr>
      </w:pPr>
      <w:proofErr w:type="spellStart"/>
      <w:r w:rsidRPr="0021357D">
        <w:rPr>
          <w:rFonts w:ascii="Arial" w:hAnsi="Arial" w:cs="Arial"/>
          <w:sz w:val="16"/>
          <w:szCs w:val="16"/>
        </w:rPr>
        <w:t>Tingzon</w:t>
      </w:r>
      <w:proofErr w:type="spellEnd"/>
      <w:r w:rsidRPr="0021357D">
        <w:rPr>
          <w:rFonts w:ascii="Arial" w:hAnsi="Arial" w:cs="Arial"/>
          <w:sz w:val="16"/>
          <w:szCs w:val="16"/>
        </w:rPr>
        <w:t xml:space="preserve">, I., Orden, A., Go, K. T., Sy, S., </w:t>
      </w:r>
      <w:proofErr w:type="spellStart"/>
      <w:r w:rsidRPr="0021357D">
        <w:rPr>
          <w:rFonts w:ascii="Arial" w:hAnsi="Arial" w:cs="Arial"/>
          <w:sz w:val="16"/>
          <w:szCs w:val="16"/>
        </w:rPr>
        <w:t>Sekara</w:t>
      </w:r>
      <w:proofErr w:type="spellEnd"/>
      <w:r w:rsidRPr="0021357D">
        <w:rPr>
          <w:rFonts w:ascii="Arial" w:hAnsi="Arial" w:cs="Arial"/>
          <w:sz w:val="16"/>
          <w:szCs w:val="16"/>
        </w:rPr>
        <w:t xml:space="preserve">, V., Weber, I., </w:t>
      </w:r>
      <w:proofErr w:type="spellStart"/>
      <w:r w:rsidRPr="0021357D">
        <w:rPr>
          <w:rFonts w:ascii="Arial" w:hAnsi="Arial" w:cs="Arial"/>
          <w:sz w:val="16"/>
          <w:szCs w:val="16"/>
        </w:rPr>
        <w:t>Fatehkia</w:t>
      </w:r>
      <w:proofErr w:type="spellEnd"/>
      <w:r w:rsidRPr="0021357D">
        <w:rPr>
          <w:rFonts w:ascii="Arial" w:hAnsi="Arial" w:cs="Arial"/>
          <w:sz w:val="16"/>
          <w:szCs w:val="16"/>
        </w:rPr>
        <w:t>, M., García-Herranz, M., &amp; Kim, D. (2019). Mapping poverty in the Philippines using machine learning, satellite imagery, and crowd-sourced geospatial information. The International Archives of the Photogrammetry, Remote Sensing and Spatial Information Sciences, XLII-4/W19, 425-431. https://doi.org/10.5194/isprs-archives-XLII-4-W19-425-2019</w:t>
      </w:r>
    </w:p>
    <w:p w14:paraId="0A196E6D" w14:textId="77777777" w:rsidR="00CC4CE9" w:rsidRPr="005F4A8D" w:rsidRDefault="00CC4CE9" w:rsidP="008D4334">
      <w:pPr>
        <w:pStyle w:val="Heading2"/>
        <w:spacing w:line="240" w:lineRule="auto"/>
        <w:rPr>
          <w:rFonts w:ascii="Arial" w:hAnsi="Arial" w:cs="Arial"/>
          <w:color w:val="0432FF"/>
          <w:sz w:val="16"/>
          <w:szCs w:val="16"/>
        </w:rPr>
      </w:pPr>
      <w:r w:rsidRPr="005F4A8D">
        <w:rPr>
          <w:rFonts w:ascii="Arial" w:hAnsi="Arial" w:cs="Arial"/>
          <w:color w:val="0432FF"/>
          <w:sz w:val="16"/>
          <w:szCs w:val="16"/>
        </w:rPr>
        <w:t>Elliott et al. - The Local Impact of Typhoons on Economic Activity in China: A View from Outer Space</w:t>
      </w:r>
    </w:p>
    <w:p w14:paraId="0CADEFDE"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Elliott et al. (2015) estimate the local economic impact of typhoons in China using DMSP nighttime lights and storm-exposure modelling. The study combines typhoon tracks, wind-field estimates, and light-based economic indicators to measure subnational economic effects. It is one of the key early studies connecting tropical cyclones, nighttime lights, and localized economic disruption.</w:t>
      </w:r>
    </w:p>
    <w:p w14:paraId="07D7C7D5"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Elliott, R. J. R., Strobl, E., &amp; Sun, P. (2015). The local impact of typhoons on economic activity in China: A view from outer space. Journal of Urban Economics, 88, 50-66. https://doi.org/10.1016/j.jue.2015.05.001</w:t>
      </w:r>
    </w:p>
    <w:p w14:paraId="7C19E1FC" w14:textId="77777777" w:rsidR="00CC4CE9" w:rsidRPr="005F4A8D" w:rsidRDefault="00CC4CE9" w:rsidP="008D4334">
      <w:pPr>
        <w:pStyle w:val="Heading2"/>
        <w:spacing w:line="240" w:lineRule="auto"/>
        <w:rPr>
          <w:rFonts w:ascii="Arial" w:hAnsi="Arial" w:cs="Arial"/>
          <w:color w:val="0432FF"/>
          <w:sz w:val="16"/>
          <w:szCs w:val="16"/>
        </w:rPr>
      </w:pPr>
      <w:r w:rsidRPr="005F4A8D">
        <w:rPr>
          <w:rFonts w:ascii="Arial" w:hAnsi="Arial" w:cs="Arial"/>
          <w:color w:val="0432FF"/>
          <w:sz w:val="16"/>
          <w:szCs w:val="16"/>
        </w:rPr>
        <w:t>Gillespie et al. - Nighttime Lights Time Series of Tsunami Damage, Recovery, and Economic Metrics in Sumatra, Indonesia</w:t>
      </w:r>
    </w:p>
    <w:p w14:paraId="07FF75D0"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Gillespie et al. (2014) use nighttime-light time series to examine tsunami damage, recovery, and economic metrics in Sumatra after the 2004 Indian Ocean tsunami. The study uses lights to observe spatial and temporal patterns of disruption and return of activity. It is a key disaster-oriented application of NTL before the widespread use of daily VIIRS Black Marble.</w:t>
      </w:r>
    </w:p>
    <w:p w14:paraId="6E576A60"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Gillespie, T. W., Frankenberg, E., Chum, K. F., &amp; Thomas, D. (2014). Nighttime lights time series of tsunami damage, recovery, and economic metrics in Sumatra, Indonesia. Remote Sensing Letters, 5(3), 286-294. https://doi.org/10.1080/2150704X.2014.900205</w:t>
      </w:r>
    </w:p>
    <w:p w14:paraId="2A98DF76" w14:textId="77777777" w:rsidR="00CC4CE9" w:rsidRPr="005F4A8D" w:rsidRDefault="00CC4CE9" w:rsidP="008D4334">
      <w:pPr>
        <w:pStyle w:val="Heading2"/>
        <w:spacing w:line="240" w:lineRule="auto"/>
        <w:rPr>
          <w:rFonts w:ascii="Arial" w:hAnsi="Arial" w:cs="Arial"/>
          <w:color w:val="0432FF"/>
          <w:sz w:val="16"/>
          <w:szCs w:val="16"/>
        </w:rPr>
      </w:pPr>
      <w:proofErr w:type="spellStart"/>
      <w:r w:rsidRPr="005F4A8D">
        <w:rPr>
          <w:rFonts w:ascii="Arial" w:hAnsi="Arial" w:cs="Arial"/>
          <w:color w:val="0432FF"/>
          <w:sz w:val="16"/>
          <w:szCs w:val="16"/>
        </w:rPr>
        <w:t>Mård</w:t>
      </w:r>
      <w:proofErr w:type="spellEnd"/>
      <w:r w:rsidRPr="005F4A8D">
        <w:rPr>
          <w:rFonts w:ascii="Arial" w:hAnsi="Arial" w:cs="Arial"/>
          <w:color w:val="0432FF"/>
          <w:sz w:val="16"/>
          <w:szCs w:val="16"/>
        </w:rPr>
        <w:t xml:space="preserve"> et al. - Nightlight Data Reveal How Flood Protection Shapes Human Proximity to Rivers</w:t>
      </w:r>
    </w:p>
    <w:p w14:paraId="45C16BA3" w14:textId="77777777" w:rsidR="00CC4CE9" w:rsidRPr="0021357D" w:rsidRDefault="00CC4CE9" w:rsidP="008D4334">
      <w:pPr>
        <w:spacing w:line="240" w:lineRule="auto"/>
        <w:rPr>
          <w:rFonts w:ascii="Arial" w:hAnsi="Arial" w:cs="Arial"/>
          <w:sz w:val="16"/>
          <w:szCs w:val="16"/>
        </w:rPr>
      </w:pPr>
      <w:proofErr w:type="spellStart"/>
      <w:r w:rsidRPr="0021357D">
        <w:rPr>
          <w:rFonts w:ascii="Arial" w:hAnsi="Arial" w:cs="Arial"/>
          <w:sz w:val="16"/>
          <w:szCs w:val="16"/>
        </w:rPr>
        <w:t>Mård</w:t>
      </w:r>
      <w:proofErr w:type="spellEnd"/>
      <w:r w:rsidRPr="0021357D">
        <w:rPr>
          <w:rFonts w:ascii="Arial" w:hAnsi="Arial" w:cs="Arial"/>
          <w:sz w:val="16"/>
          <w:szCs w:val="16"/>
        </w:rPr>
        <w:t xml:space="preserve"> et al. (2018) use nighttime lights to examine how flood protection influences human proximity to rivers. The study treats lights as an indicator of settlement and human activity, showing how protective infrastructure can encourage development in flood-prone areas. It links NTL with disaster-risk exposure rather than post-event recovery, making it relevant to risk accumulation and settlement dynamics.</w:t>
      </w:r>
    </w:p>
    <w:p w14:paraId="284B27C7" w14:textId="77777777" w:rsidR="00CC4CE9" w:rsidRPr="0021357D" w:rsidRDefault="00CC4CE9" w:rsidP="008D4334">
      <w:pPr>
        <w:pStyle w:val="Citationparagraph"/>
        <w:spacing w:line="240" w:lineRule="auto"/>
        <w:rPr>
          <w:rFonts w:ascii="Arial" w:hAnsi="Arial" w:cs="Arial"/>
          <w:sz w:val="16"/>
          <w:szCs w:val="16"/>
        </w:rPr>
      </w:pPr>
      <w:proofErr w:type="spellStart"/>
      <w:r w:rsidRPr="0021357D">
        <w:rPr>
          <w:rFonts w:ascii="Arial" w:hAnsi="Arial" w:cs="Arial"/>
          <w:sz w:val="16"/>
          <w:szCs w:val="16"/>
        </w:rPr>
        <w:t>Mård</w:t>
      </w:r>
      <w:proofErr w:type="spellEnd"/>
      <w:r w:rsidRPr="0021357D">
        <w:rPr>
          <w:rFonts w:ascii="Arial" w:hAnsi="Arial" w:cs="Arial"/>
          <w:sz w:val="16"/>
          <w:szCs w:val="16"/>
        </w:rPr>
        <w:t>, J., Di Baldassarre, G., &amp; Mazzoleni, M. (2018). Nightlight data reveal how flood protection shapes human proximity to rivers. Science Advances, 4(8), eaar5779. https://doi.org/10.1126/sciadv.aar5779</w:t>
      </w:r>
    </w:p>
    <w:p w14:paraId="6641D5C8" w14:textId="77777777" w:rsidR="00CC4CE9" w:rsidRPr="005F4A8D" w:rsidRDefault="00CC4CE9" w:rsidP="008D4334">
      <w:pPr>
        <w:pStyle w:val="Heading2"/>
        <w:spacing w:line="240" w:lineRule="auto"/>
        <w:rPr>
          <w:rFonts w:ascii="Arial" w:hAnsi="Arial" w:cs="Arial"/>
          <w:color w:val="0432FF"/>
          <w:sz w:val="16"/>
          <w:szCs w:val="16"/>
        </w:rPr>
      </w:pPr>
      <w:r w:rsidRPr="005F4A8D">
        <w:rPr>
          <w:rFonts w:ascii="Arial" w:hAnsi="Arial" w:cs="Arial"/>
          <w:color w:val="0432FF"/>
          <w:sz w:val="16"/>
          <w:szCs w:val="16"/>
        </w:rPr>
        <w:t>Román and Stokes - Holidays in Lights: Tracking Cultural Patterns in Demand for Energy Services</w:t>
      </w:r>
    </w:p>
    <w:p w14:paraId="06B3475B"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Román and Stokes (2015) use satellite nighttime lights to track cultural patterns in energy-service demand during holidays. The study shows that NTL contains social and cultural signals, not only economic or infrastructure signals. This finding is important because disaster interpretation must account for recurring cultural, seasonal, and behavioral lighting patterns when defining baselines or anomalies.</w:t>
      </w:r>
    </w:p>
    <w:p w14:paraId="26C51E8A"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Román, M. O., &amp; Stokes, E. C. (2015). Holidays in lights: Tracking cultural patterns in demand for energy services. Earth’s Future, 3(6), 182-205. https://doi.org/10.1002/2014EF000285</w:t>
      </w:r>
    </w:p>
    <w:p w14:paraId="73315B9D" w14:textId="77777777" w:rsidR="00CC4CE9" w:rsidRPr="005F4A8D" w:rsidRDefault="00CC4CE9" w:rsidP="008D4334">
      <w:pPr>
        <w:pStyle w:val="Heading2"/>
        <w:spacing w:line="240" w:lineRule="auto"/>
        <w:rPr>
          <w:rFonts w:ascii="Arial" w:hAnsi="Arial" w:cs="Arial"/>
          <w:color w:val="0432FF"/>
          <w:sz w:val="16"/>
          <w:szCs w:val="16"/>
        </w:rPr>
      </w:pPr>
      <w:r w:rsidRPr="005F4A8D">
        <w:rPr>
          <w:rFonts w:ascii="Arial" w:hAnsi="Arial" w:cs="Arial"/>
          <w:color w:val="0432FF"/>
          <w:sz w:val="16"/>
          <w:szCs w:val="16"/>
        </w:rPr>
        <w:lastRenderedPageBreak/>
        <w:t>Zhou et al. - A Cluster-Based Method to Map Urban Area from DMSP/OLS Nightlights</w:t>
      </w:r>
    </w:p>
    <w:p w14:paraId="47947AD0"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Zhou et al. (2014) develop a cluster-based method to map urban areas using DMSP-OLS nightlights. The study improves urban extraction from nighttime lights by reducing reliance on simple global thresholds. It contributes to urban NTL methodology by showing that spatial clustering and local context are important when separating urban light from non-urban background.</w:t>
      </w:r>
    </w:p>
    <w:p w14:paraId="2638633E"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Zhou, Y., Smith, S. J., Elvidge, C. D., Zhao, K., Thomson, A., &amp; Imhoff, M. (2014). A cluster-based method to map urban area from DMSP/OLS nightlights. Remote Sensing of Environment, 147, 173-185. https://doi.org/10.1016/j.rse.2014.03.004</w:t>
      </w:r>
    </w:p>
    <w:p w14:paraId="5C4407A8" w14:textId="77777777" w:rsidR="00CC4CE9" w:rsidRPr="005F4A8D" w:rsidRDefault="00CC4CE9" w:rsidP="008D4334">
      <w:pPr>
        <w:pStyle w:val="Heading2"/>
        <w:spacing w:line="240" w:lineRule="auto"/>
        <w:rPr>
          <w:rFonts w:ascii="Arial" w:hAnsi="Arial" w:cs="Arial"/>
          <w:color w:val="0432FF"/>
          <w:sz w:val="16"/>
          <w:szCs w:val="16"/>
        </w:rPr>
      </w:pPr>
      <w:r w:rsidRPr="005F4A8D">
        <w:rPr>
          <w:rFonts w:ascii="Arial" w:hAnsi="Arial" w:cs="Arial"/>
          <w:color w:val="0432FF"/>
          <w:sz w:val="16"/>
          <w:szCs w:val="16"/>
        </w:rPr>
        <w:t>Zhou et al. - A Global Map of Urban Extent from Nightlights</w:t>
      </w:r>
    </w:p>
    <w:p w14:paraId="38E69278"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Zhou et al. (2015) produce a global urban-extent map using nighttime lights. The study demonstrates that NTL can support global settlement mapping when combined with classification rules that account for regional variation. It is part of the literature showing how nighttime lights function as settlement indicators, a premise later refined by GHSL and other built-up products.</w:t>
      </w:r>
    </w:p>
    <w:p w14:paraId="008DE8A7"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Zhou, Y., Smith, S. J., Zhao, K., Imhoff, M., Thomson, A., Bond-Lamberty, B., Asrar, G. R., Zhang, X., He, C., &amp; Elvidge, C. D. (2015). A global map of urban extent from nightlights. Environmental Research Letters, 10(5), 054011. https://doi.org/10.1088/1748-9326/10/5/054011</w:t>
      </w:r>
    </w:p>
    <w:p w14:paraId="5F230716" w14:textId="77777777" w:rsidR="00CC4CE9" w:rsidRPr="005F4A8D" w:rsidRDefault="00CC4CE9" w:rsidP="008D4334">
      <w:pPr>
        <w:pStyle w:val="Heading2"/>
        <w:spacing w:line="240" w:lineRule="auto"/>
        <w:rPr>
          <w:rFonts w:ascii="Arial" w:hAnsi="Arial" w:cs="Arial"/>
          <w:color w:val="0432FF"/>
          <w:sz w:val="16"/>
          <w:szCs w:val="16"/>
        </w:rPr>
      </w:pPr>
      <w:r w:rsidRPr="005F4A8D">
        <w:rPr>
          <w:rFonts w:ascii="Arial" w:hAnsi="Arial" w:cs="Arial"/>
          <w:color w:val="0432FF"/>
          <w:sz w:val="16"/>
          <w:szCs w:val="16"/>
        </w:rPr>
        <w:t>Zhou et al. - A Global Record of Annual Urban Dynamics from Nighttime Lights</w:t>
      </w:r>
    </w:p>
    <w:p w14:paraId="5DD3CE94"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Zhou et al. (2018) produce a global record of annual urban dynamics from nighttime lights between 1992 and 2013. The study uses the long DMSP-OLS archive to reconstruct urban expansion patterns, demonstrating the value of NTL for multi-decadal settlement change. It is useful background for distinguishing long-term urban growth from event-specific disaster signals.</w:t>
      </w:r>
    </w:p>
    <w:p w14:paraId="21A8E52D"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Zhou, Y., Li, X., Asrar, G. R., Smith, S. J., &amp; Imhoff, M. (2018). A global record of annual urban dynamics (1992-2013) from nighttime lights. Remote Sensing of Environment, 219, 206-220. https://doi.org/10.1016/j.rse.2018.10.015</w:t>
      </w:r>
    </w:p>
    <w:p w14:paraId="676CA7EB" w14:textId="77777777" w:rsidR="00CC4CE9" w:rsidRPr="005F4A8D" w:rsidRDefault="00CC4CE9" w:rsidP="008D4334">
      <w:pPr>
        <w:pStyle w:val="Heading2"/>
        <w:spacing w:line="240" w:lineRule="auto"/>
        <w:rPr>
          <w:rFonts w:ascii="Arial" w:hAnsi="Arial" w:cs="Arial"/>
          <w:color w:val="0432FF"/>
          <w:sz w:val="16"/>
          <w:szCs w:val="16"/>
        </w:rPr>
      </w:pPr>
      <w:r w:rsidRPr="005F4A8D">
        <w:rPr>
          <w:rFonts w:ascii="Arial" w:hAnsi="Arial" w:cs="Arial"/>
          <w:color w:val="0432FF"/>
          <w:sz w:val="16"/>
          <w:szCs w:val="16"/>
        </w:rPr>
        <w:t>Sharma et al. - Global Mapping of Urban Built-Up Areas by Combining MODIS and VIIRS Nighttime Light Data</w:t>
      </w:r>
    </w:p>
    <w:p w14:paraId="4E72C188"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Sharma et al. (2016) map global urban built-up areas by combining MODIS multispectral data with VIIRS nighttime lights. The study integrates daytime spectral information with nocturnal radiance to improve urban delineation. It illustrates a wider methodological principle: NTL often becomes more interpretable when combined with independent built-environment datasets rather than used alone.</w:t>
      </w:r>
    </w:p>
    <w:p w14:paraId="23774C1C" w14:textId="232BEDEC"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 xml:space="preserve">Sharma, R. C., Tateishi, R., Hara, K., </w:t>
      </w:r>
      <w:proofErr w:type="spellStart"/>
      <w:r w:rsidRPr="0021357D">
        <w:rPr>
          <w:rFonts w:ascii="Arial" w:hAnsi="Arial" w:cs="Arial"/>
          <w:sz w:val="16"/>
          <w:szCs w:val="16"/>
        </w:rPr>
        <w:t>Gharechelou</w:t>
      </w:r>
      <w:proofErr w:type="spellEnd"/>
      <w:r w:rsidRPr="0021357D">
        <w:rPr>
          <w:rFonts w:ascii="Arial" w:hAnsi="Arial" w:cs="Arial"/>
          <w:sz w:val="16"/>
          <w:szCs w:val="16"/>
        </w:rPr>
        <w:t xml:space="preserve">, S., &amp; Iizuka, K. (2016). Global mapping of urban built-up areas of year 2014 by combining MODIS multispectral data with VIIRS nighttime light data. International Journal of Digital Earth, 9(10), 1004-1020. </w:t>
      </w:r>
    </w:p>
    <w:p w14:paraId="32AF8F83" w14:textId="77777777" w:rsidR="00CC4CE9" w:rsidRPr="005F4A8D" w:rsidRDefault="00CC4CE9" w:rsidP="008D4334">
      <w:pPr>
        <w:pStyle w:val="Heading2"/>
        <w:spacing w:line="240" w:lineRule="auto"/>
        <w:rPr>
          <w:rFonts w:ascii="Arial" w:hAnsi="Arial" w:cs="Arial"/>
          <w:color w:val="0432FF"/>
          <w:sz w:val="16"/>
          <w:szCs w:val="16"/>
        </w:rPr>
      </w:pPr>
      <w:r w:rsidRPr="005F4A8D">
        <w:rPr>
          <w:rFonts w:ascii="Arial" w:hAnsi="Arial" w:cs="Arial"/>
          <w:color w:val="0432FF"/>
          <w:sz w:val="16"/>
          <w:szCs w:val="16"/>
        </w:rPr>
        <w:t>He et al. - Detecting Global Urban Expansion Using a Fully Convolutional Network</w:t>
      </w:r>
    </w:p>
    <w:p w14:paraId="1421570E"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 xml:space="preserve">He et al. (2019) </w:t>
      </w:r>
      <w:proofErr w:type="gramStart"/>
      <w:r w:rsidRPr="0021357D">
        <w:rPr>
          <w:rFonts w:ascii="Arial" w:hAnsi="Arial" w:cs="Arial"/>
          <w:sz w:val="16"/>
          <w:szCs w:val="16"/>
        </w:rPr>
        <w:t>use</w:t>
      </w:r>
      <w:proofErr w:type="gramEnd"/>
      <w:r w:rsidRPr="0021357D">
        <w:rPr>
          <w:rFonts w:ascii="Arial" w:hAnsi="Arial" w:cs="Arial"/>
          <w:sz w:val="16"/>
          <w:szCs w:val="16"/>
        </w:rPr>
        <w:t xml:space="preserve"> a fully convolutional network to detect global urban expansion over multiple decades. The study combines remote sensing variables such as nighttime lights, vegetation, and land surface temperature to improve urban-change detection. It reflects the movement from single-proxy urban mapping toward multi-source, machine-learning-based settlement characterization.</w:t>
      </w:r>
    </w:p>
    <w:p w14:paraId="5E156BFB" w14:textId="67533094"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 xml:space="preserve">He, C., Liu, Z., Gou, S., Zhang, Q., Zhang, J., &amp; Xu, L. (2019). Detecting global urban expansion over the last three decades using a fully convolutional network. Environmental Research Letters, 14(3), 034008. </w:t>
      </w:r>
    </w:p>
    <w:p w14:paraId="76DC695A" w14:textId="77777777" w:rsidR="00CC4CE9" w:rsidRPr="005F4A8D" w:rsidRDefault="00CC4CE9" w:rsidP="008D4334">
      <w:pPr>
        <w:pStyle w:val="Heading2"/>
        <w:spacing w:line="240" w:lineRule="auto"/>
        <w:rPr>
          <w:rFonts w:ascii="Arial" w:hAnsi="Arial" w:cs="Arial"/>
          <w:color w:val="0432FF"/>
          <w:sz w:val="16"/>
          <w:szCs w:val="16"/>
        </w:rPr>
      </w:pPr>
      <w:r w:rsidRPr="005F4A8D">
        <w:rPr>
          <w:rFonts w:ascii="Arial" w:hAnsi="Arial" w:cs="Arial"/>
          <w:color w:val="0432FF"/>
          <w:sz w:val="16"/>
          <w:szCs w:val="16"/>
        </w:rPr>
        <w:t>Miller et al. - Illuminating the Capabilities of the Suomi NPP VIIRS Day/Night Band</w:t>
      </w:r>
    </w:p>
    <w:p w14:paraId="00C2947D"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Miller et al. (2013) describe the capabilities of the VIIRS Day/Night Band on Suomi NPP. The paper explains how the DNB improves low-light sensing relative to older sensors, including better radiometric performance, global coverage, and sensitivity to faint nocturnal sources. It is a foundational sensor paper for nearly all subsequent VIIRS-based nighttime-light applications.</w:t>
      </w:r>
    </w:p>
    <w:p w14:paraId="43C73D60" w14:textId="77777777" w:rsidR="00CC4CE9" w:rsidRPr="0021357D"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Miller, S. D., Straka, W. C., Mills, S. P., Elvidge, C. D., Lee, T. F., Solbrig, J., Walther, A., Heidinger, A. K., &amp; Weiss, S. C. (2013). Illuminating the capabilities of the Suomi National Polar-Orbiting Partnership (NPP) Visible Infrared Imaging Radiometer Suite (VIIRS) Day/Night Band. Remote Sensing, 5(12), 6717-6766. https://doi.org/10.3390/rs5126717</w:t>
      </w:r>
    </w:p>
    <w:p w14:paraId="4D8A6E08" w14:textId="77777777" w:rsidR="00CC4CE9" w:rsidRPr="005F4A8D" w:rsidRDefault="00CC4CE9" w:rsidP="008D4334">
      <w:pPr>
        <w:pStyle w:val="Heading2"/>
        <w:spacing w:line="240" w:lineRule="auto"/>
        <w:rPr>
          <w:rFonts w:ascii="Arial" w:hAnsi="Arial" w:cs="Arial"/>
          <w:color w:val="0432FF"/>
          <w:sz w:val="16"/>
          <w:szCs w:val="16"/>
        </w:rPr>
      </w:pPr>
      <w:r w:rsidRPr="005F4A8D">
        <w:rPr>
          <w:rFonts w:ascii="Arial" w:hAnsi="Arial" w:cs="Arial"/>
          <w:color w:val="0432FF"/>
          <w:sz w:val="16"/>
          <w:szCs w:val="16"/>
        </w:rPr>
        <w:t>Elvidge et al. - VIIRS Night-Time Lights</w:t>
      </w:r>
    </w:p>
    <w:p w14:paraId="52AC0C43" w14:textId="77777777" w:rsidR="00CC4CE9" w:rsidRPr="0021357D" w:rsidRDefault="00CC4CE9" w:rsidP="008D4334">
      <w:pPr>
        <w:spacing w:line="240" w:lineRule="auto"/>
        <w:rPr>
          <w:rFonts w:ascii="Arial" w:hAnsi="Arial" w:cs="Arial"/>
          <w:sz w:val="16"/>
          <w:szCs w:val="16"/>
        </w:rPr>
      </w:pPr>
      <w:r w:rsidRPr="0021357D">
        <w:rPr>
          <w:rFonts w:ascii="Arial" w:hAnsi="Arial" w:cs="Arial"/>
          <w:sz w:val="16"/>
          <w:szCs w:val="16"/>
        </w:rPr>
        <w:t>Elvidge et al. (2017) describe VIIRS nighttime-light products and their advantages over DMSP-OLS, including improved spatial, radiometric, and temporal performance. The study discusses corrections, product generation, and typical radiance ranges from gas flares, airports, cities, and small settlements. It is a key technical reference for interpreting VIIRS-DNB measurements and their application limits.</w:t>
      </w:r>
    </w:p>
    <w:p w14:paraId="2D5F3AA3" w14:textId="77777777" w:rsidR="00CC4CE9" w:rsidRPr="009D7290" w:rsidRDefault="00CC4CE9" w:rsidP="008D4334">
      <w:pPr>
        <w:pStyle w:val="Citationparagraph"/>
        <w:spacing w:line="240" w:lineRule="auto"/>
        <w:rPr>
          <w:rFonts w:ascii="Arial" w:hAnsi="Arial" w:cs="Arial"/>
          <w:sz w:val="16"/>
          <w:szCs w:val="16"/>
        </w:rPr>
      </w:pPr>
      <w:r w:rsidRPr="0021357D">
        <w:rPr>
          <w:rFonts w:ascii="Arial" w:hAnsi="Arial" w:cs="Arial"/>
          <w:sz w:val="16"/>
          <w:szCs w:val="16"/>
        </w:rPr>
        <w:t xml:space="preserve">Elvidge, C. D., Baugh, K., </w:t>
      </w:r>
      <w:proofErr w:type="spellStart"/>
      <w:r w:rsidRPr="0021357D">
        <w:rPr>
          <w:rFonts w:ascii="Arial" w:hAnsi="Arial" w:cs="Arial"/>
          <w:sz w:val="16"/>
          <w:szCs w:val="16"/>
        </w:rPr>
        <w:t>Zhizhin</w:t>
      </w:r>
      <w:proofErr w:type="spellEnd"/>
      <w:r w:rsidRPr="0021357D">
        <w:rPr>
          <w:rFonts w:ascii="Arial" w:hAnsi="Arial" w:cs="Arial"/>
          <w:sz w:val="16"/>
          <w:szCs w:val="16"/>
        </w:rPr>
        <w:t>, M., Hsu, F.-C., &amp; Ghosh, T. (2017). VIIRS night-time lights. International Journal of Remote Sensing, 38(21), 5860-5879. https://doi.org/10.1080/01431161.2017.1342050</w:t>
      </w:r>
    </w:p>
    <w:p w14:paraId="39593FF4"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t>Kyba et al. - High-Resolution Imagery of Earth at Night: New Sources, Opportunities and Challenges</w:t>
      </w:r>
    </w:p>
    <w:p w14:paraId="2FF74B15"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Kyba et al. (2015) review emerging sources of high-resolution nighttime imagery, including astronaut photography and other non-standard night-observation platforms. The paper discusses opportunities for observing lighting technology, urban form, and light pollution at finer spatial resolution than conventional satellite NTL products. It also identifies challenges in calibration, geometry, spectral response, and standardization.</w:t>
      </w:r>
    </w:p>
    <w:p w14:paraId="3D083D7F"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 xml:space="preserve">Kyba, C. C. M., </w:t>
      </w:r>
      <w:proofErr w:type="spellStart"/>
      <w:r w:rsidRPr="009D7290">
        <w:rPr>
          <w:rFonts w:ascii="Arial" w:hAnsi="Arial" w:cs="Arial"/>
          <w:sz w:val="16"/>
          <w:szCs w:val="16"/>
        </w:rPr>
        <w:t>Garz</w:t>
      </w:r>
      <w:proofErr w:type="spellEnd"/>
      <w:r w:rsidRPr="009D7290">
        <w:rPr>
          <w:rFonts w:ascii="Arial" w:hAnsi="Arial" w:cs="Arial"/>
          <w:sz w:val="16"/>
          <w:szCs w:val="16"/>
        </w:rPr>
        <w:t xml:space="preserve">, S., Kuechly, H. U., Sánchez de Miguel, A., Zamorano, J., Fischer, J., &amp; </w:t>
      </w:r>
      <w:proofErr w:type="spellStart"/>
      <w:r w:rsidRPr="009D7290">
        <w:rPr>
          <w:rFonts w:ascii="Arial" w:hAnsi="Arial" w:cs="Arial"/>
          <w:sz w:val="16"/>
          <w:szCs w:val="16"/>
        </w:rPr>
        <w:t>Hölker</w:t>
      </w:r>
      <w:proofErr w:type="spellEnd"/>
      <w:r w:rsidRPr="009D7290">
        <w:rPr>
          <w:rFonts w:ascii="Arial" w:hAnsi="Arial" w:cs="Arial"/>
          <w:sz w:val="16"/>
          <w:szCs w:val="16"/>
        </w:rPr>
        <w:t xml:space="preserve">, F. (2015). High-resolution imagery of Earth at night: </w:t>
      </w:r>
      <w:proofErr w:type="gramStart"/>
      <w:r w:rsidRPr="009D7290">
        <w:rPr>
          <w:rFonts w:ascii="Arial" w:hAnsi="Arial" w:cs="Arial"/>
          <w:sz w:val="16"/>
          <w:szCs w:val="16"/>
        </w:rPr>
        <w:t>New</w:t>
      </w:r>
      <w:proofErr w:type="gramEnd"/>
      <w:r w:rsidRPr="009D7290">
        <w:rPr>
          <w:rFonts w:ascii="Arial" w:hAnsi="Arial" w:cs="Arial"/>
          <w:sz w:val="16"/>
          <w:szCs w:val="16"/>
        </w:rPr>
        <w:t xml:space="preserve"> sources, opportunities and challenges. Remote Sensing, 7(1), 1-23. https://doi.org/10.3390/rs70100001</w:t>
      </w:r>
    </w:p>
    <w:p w14:paraId="002BF4F3"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t>Román et al. - NASA’s Black Marble Nighttime Lights Product Suite</w:t>
      </w:r>
    </w:p>
    <w:p w14:paraId="3160D084"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Román et al. (2018) introduce NASA’s Black Marble product suite, a major advance in nighttime-light remote sensing based on VIIRS. The product applies corrections for lunar illumination, atmospheric effects, terrain, snow, BRDF, and sensor geometry, and provides daily gridded nighttime-light layers and quality information. The paper establishes the technical basis for daily, physically corrected NTL analysis.</w:t>
      </w:r>
    </w:p>
    <w:p w14:paraId="6A2C214F"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 xml:space="preserve">Román, M. O., Wang, Z., Sun, Q., Kalb, V., Miller, S. D., Molthan, A., Schultz, L., Bell, J., Stokes, E. C., Pandey, B., Seto, K. C., Hall, D., Oda, T., Wolfe, R. E., Lin, G., </w:t>
      </w:r>
      <w:proofErr w:type="spellStart"/>
      <w:r w:rsidRPr="009D7290">
        <w:rPr>
          <w:rFonts w:ascii="Arial" w:hAnsi="Arial" w:cs="Arial"/>
          <w:sz w:val="16"/>
          <w:szCs w:val="16"/>
        </w:rPr>
        <w:t>Golpayegani</w:t>
      </w:r>
      <w:proofErr w:type="spellEnd"/>
      <w:r w:rsidRPr="009D7290">
        <w:rPr>
          <w:rFonts w:ascii="Arial" w:hAnsi="Arial" w:cs="Arial"/>
          <w:sz w:val="16"/>
          <w:szCs w:val="16"/>
        </w:rPr>
        <w:t xml:space="preserve">, N., Devadiga, S., Davidson, C., Sarkar, S., </w:t>
      </w:r>
      <w:proofErr w:type="spellStart"/>
      <w:r w:rsidRPr="009D7290">
        <w:rPr>
          <w:rFonts w:ascii="Arial" w:hAnsi="Arial" w:cs="Arial"/>
          <w:sz w:val="16"/>
          <w:szCs w:val="16"/>
        </w:rPr>
        <w:t>Praderas</w:t>
      </w:r>
      <w:proofErr w:type="spellEnd"/>
      <w:r w:rsidRPr="009D7290">
        <w:rPr>
          <w:rFonts w:ascii="Arial" w:hAnsi="Arial" w:cs="Arial"/>
          <w:sz w:val="16"/>
          <w:szCs w:val="16"/>
        </w:rPr>
        <w:t xml:space="preserve">, C., Schmaltz, J., Boller, R., Stevens, J., Ramos González, O. M., Padilla, E., Alonso, J., </w:t>
      </w:r>
      <w:proofErr w:type="spellStart"/>
      <w:r w:rsidRPr="009D7290">
        <w:rPr>
          <w:rFonts w:ascii="Arial" w:hAnsi="Arial" w:cs="Arial"/>
          <w:sz w:val="16"/>
          <w:szCs w:val="16"/>
        </w:rPr>
        <w:t>Detrés</w:t>
      </w:r>
      <w:proofErr w:type="spellEnd"/>
      <w:r w:rsidRPr="009D7290">
        <w:rPr>
          <w:rFonts w:ascii="Arial" w:hAnsi="Arial" w:cs="Arial"/>
          <w:sz w:val="16"/>
          <w:szCs w:val="16"/>
        </w:rPr>
        <w:t xml:space="preserve">, Y., Armstrong, R., Miranda, I., Conte, Y., Marrero, N., </w:t>
      </w:r>
      <w:r w:rsidRPr="009D7290">
        <w:rPr>
          <w:rFonts w:ascii="Arial" w:hAnsi="Arial" w:cs="Arial"/>
          <w:sz w:val="16"/>
          <w:szCs w:val="16"/>
        </w:rPr>
        <w:lastRenderedPageBreak/>
        <w:t>MacManus, K., Esch, T., &amp; Masuoka, E. J. (2018). NASA’s Black Marble nighttime lights product suite. Remote Sensing of Environment, 210, 113-143. https://doi.org/10.1016/j.rse.2018.03.017</w:t>
      </w:r>
    </w:p>
    <w:p w14:paraId="3A06B542"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t>Wang et al. - Monitoring Disaster-Related Power Outages Using NASA Black Marble Nighttime Light Product</w:t>
      </w:r>
    </w:p>
    <w:p w14:paraId="2E646B7C"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Wang et al. (2018) demonstrate the use of NASA Black Marble nighttime lights for monitoring disaster-related power outages. The work presents Black Marble as a practical product for mapping electricity disruption in the aftermath of hazards. It is an important applied bridge between product development and operational disaster monitoring using daily or near-daily radiance anomalies.</w:t>
      </w:r>
    </w:p>
    <w:p w14:paraId="5D7C4AF6"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Wang, Z., Román, M. O., Sun, Q., Molthan, A. L., Schultz, L. A., &amp; Kalb, V. L. (2018). Monitoring disaster-related power outages using NASA Black Marble nighttime light product. The International Archives of the Photogrammetry, Remote Sensing and Spatial Information Sciences, XLII-3, 1853-1856. https://doi.org/10.5194/isprs-archives-XLII-3-1853-2018</w:t>
      </w:r>
    </w:p>
    <w:p w14:paraId="0454B42F"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t>Román et al. - Satellite-Based Assessment of Electricity Restoration Efforts in Puerto Rico after Hurricane Maria</w:t>
      </w:r>
    </w:p>
    <w:p w14:paraId="4091295E"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Román et al. (2019) use satellite nighttime lights to assess electricity restoration in Puerto Rico after Hurricane Maria. The study compares satellite-derived restoration with utility-reported recovery and introduces metrics for electricity restoration stages and duration. It is one of the most influential studies demonstrating NTL as a functional proxy for post-disaster electricity restoration.</w:t>
      </w:r>
    </w:p>
    <w:p w14:paraId="1BECE121"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 xml:space="preserve">Román, M. O., Stokes, E. C., Shrestha, R. M., Wang, Z., Schultz, L., Sepúlveda Carlo, E. A., Sun, Q., Bell, J., Molthan, A., Kalb, V., Ji, C., Seto, K. C., McClain, S. N., &amp; </w:t>
      </w:r>
      <w:proofErr w:type="spellStart"/>
      <w:r w:rsidRPr="009D7290">
        <w:rPr>
          <w:rFonts w:ascii="Arial" w:hAnsi="Arial" w:cs="Arial"/>
          <w:sz w:val="16"/>
          <w:szCs w:val="16"/>
        </w:rPr>
        <w:t>Enenkel</w:t>
      </w:r>
      <w:proofErr w:type="spellEnd"/>
      <w:r w:rsidRPr="009D7290">
        <w:rPr>
          <w:rFonts w:ascii="Arial" w:hAnsi="Arial" w:cs="Arial"/>
          <w:sz w:val="16"/>
          <w:szCs w:val="16"/>
        </w:rPr>
        <w:t>, M. (2019). Satellite-based assessment of electricity restoration efforts in Puerto Rico after Hurricane Maria. PLOS ONE, 14(6), e0218883. https://doi.org/10.1371/journal.pone.0218883</w:t>
      </w:r>
    </w:p>
    <w:p w14:paraId="69856AA1"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t>Shermeyer - Assessment of Electrical and Infrastructure Recovery in Puerto Rico Following Hurricane Maria</w:t>
      </w:r>
    </w:p>
    <w:p w14:paraId="3E5892CE"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Shermeyer (2018) assesses electrical and infrastructure recovery in Puerto Rico after Hurricane Maria using a multisource satellite time series. The study combines VIIRS nighttime imagery, Landsat-derived information, census data, and building-footprint information to infer recovery conditions. It is an early example of combining NTL with other spatial layers to assess infrastructure recovery rather than interpreting radiance alone.</w:t>
      </w:r>
    </w:p>
    <w:p w14:paraId="6704CD63"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 xml:space="preserve">Shermeyer, J. (2018). Assessment of electrical and infrastructure recovery in Puerto Rico following Hurricane Maria using a multisource time series of satellite imagery. </w:t>
      </w:r>
      <w:proofErr w:type="spellStart"/>
      <w:r w:rsidRPr="009D7290">
        <w:rPr>
          <w:rFonts w:ascii="Arial" w:hAnsi="Arial" w:cs="Arial"/>
          <w:sz w:val="16"/>
          <w:szCs w:val="16"/>
        </w:rPr>
        <w:t>arXiv</w:t>
      </w:r>
      <w:proofErr w:type="spellEnd"/>
      <w:r w:rsidRPr="009D7290">
        <w:rPr>
          <w:rFonts w:ascii="Arial" w:hAnsi="Arial" w:cs="Arial"/>
          <w:sz w:val="16"/>
          <w:szCs w:val="16"/>
        </w:rPr>
        <w:t>. https://doi.org/10.48550/arXiv.1807.05854</w:t>
      </w:r>
    </w:p>
    <w:p w14:paraId="3E484607"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t>Zhao et al. - NPP-VIIRS DNB Daily Data in Natural Disaster Assessment</w:t>
      </w:r>
    </w:p>
    <w:p w14:paraId="75B34611"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Zhao et al. (2018) examine the use of daily NPP-VIIRS DNB data for natural disaster assessment across selected case studies. The paper demonstrates how daily nighttime lights can capture disaster-related radiance changes across hazards such as earthquakes, floods, and storms. It is a key reference for the transition from annual or monthly NTL analysis toward event-scale daily disaster monitoring.</w:t>
      </w:r>
    </w:p>
    <w:p w14:paraId="7993FDF9"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Zhao, X., Yu, B., Liu, Y., Yao, S., Lian, T., Chen, L., Yang, C., Chen, Z., &amp; Wu, J. (2018). NPP-VIIRS DNB daily data in natural disaster assessment: Evidence from selected case studies. Remote Sensing, 10(10), 1526. https://doi.org/10.3390/rs10101526</w:t>
      </w:r>
    </w:p>
    <w:p w14:paraId="3D8326C7"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t>Zhao et al. - Time Series Analysis of VIIRS-DNB Nighttime Lights Imagery for Change Detection in Urban Areas</w:t>
      </w:r>
    </w:p>
    <w:p w14:paraId="6B737ABB"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Zhao et al. (2020) use VIIRS-DNB nighttime-light time series to detect urban change after Hurricanes Irma and Maria in Puerto Rico. The study applies time-series analysis to identify radiance drops and recovery patterns associated with hurricane devastation. It contributes to the literature on post-disaster NTL by emphasizing temporal trajectories rather than single-date comparisons.</w:t>
      </w:r>
    </w:p>
    <w:p w14:paraId="48383AFD"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Zhao, N., Liu, Y., Hsu, F.-C., Samson, E. L., Letu, H., Liang, D., &amp; Cao, G. (2020). Time-series analysis of VIIRS-DNB nighttime lights imagery for change detection in urban areas: A case study of devastation in Puerto Rico from Hurricanes Irma and Maria. Applied Geography, 120, 102222. https://doi.org/10.1016/j.apgeog.2020.102222</w:t>
      </w:r>
    </w:p>
    <w:p w14:paraId="303BDAB2" w14:textId="77777777" w:rsidR="00CC4CE9" w:rsidRPr="009D7290" w:rsidRDefault="00CC4CE9" w:rsidP="008D4334">
      <w:pPr>
        <w:pStyle w:val="Heading2"/>
        <w:spacing w:line="240" w:lineRule="auto"/>
        <w:rPr>
          <w:rFonts w:ascii="Arial" w:hAnsi="Arial" w:cs="Arial"/>
          <w:color w:val="0432FF"/>
          <w:sz w:val="16"/>
          <w:szCs w:val="16"/>
        </w:rPr>
      </w:pPr>
      <w:proofErr w:type="spellStart"/>
      <w:r w:rsidRPr="009D7290">
        <w:rPr>
          <w:rFonts w:ascii="Arial" w:hAnsi="Arial" w:cs="Arial"/>
          <w:color w:val="0432FF"/>
          <w:sz w:val="16"/>
          <w:szCs w:val="16"/>
        </w:rPr>
        <w:t>Skoufias</w:t>
      </w:r>
      <w:proofErr w:type="spellEnd"/>
      <w:r w:rsidRPr="009D7290">
        <w:rPr>
          <w:rFonts w:ascii="Arial" w:hAnsi="Arial" w:cs="Arial"/>
          <w:color w:val="0432FF"/>
          <w:sz w:val="16"/>
          <w:szCs w:val="16"/>
        </w:rPr>
        <w:t xml:space="preserve"> et al. - Can We Rely on VIIRS Nightlights to Estimate the Short-Term Impacts of Natural Hazards?</w:t>
      </w:r>
    </w:p>
    <w:p w14:paraId="0341AFE4" w14:textId="77777777" w:rsidR="00CC4CE9" w:rsidRPr="009D7290" w:rsidRDefault="00CC4CE9" w:rsidP="008D4334">
      <w:pPr>
        <w:spacing w:line="240" w:lineRule="auto"/>
        <w:rPr>
          <w:rFonts w:ascii="Arial" w:hAnsi="Arial" w:cs="Arial"/>
          <w:sz w:val="16"/>
          <w:szCs w:val="16"/>
        </w:rPr>
      </w:pPr>
      <w:proofErr w:type="spellStart"/>
      <w:r w:rsidRPr="009D7290">
        <w:rPr>
          <w:rFonts w:ascii="Arial" w:hAnsi="Arial" w:cs="Arial"/>
          <w:sz w:val="16"/>
          <w:szCs w:val="16"/>
        </w:rPr>
        <w:t>Skoufias</w:t>
      </w:r>
      <w:proofErr w:type="spellEnd"/>
      <w:r w:rsidRPr="009D7290">
        <w:rPr>
          <w:rFonts w:ascii="Arial" w:hAnsi="Arial" w:cs="Arial"/>
          <w:sz w:val="16"/>
          <w:szCs w:val="16"/>
        </w:rPr>
        <w:t xml:space="preserve"> et al. (2021) test whether VIIRS nightlights can estimate short-term natural-hazard impacts in five Southeast Asian countries. The study evaluates how hazard exposure is reflected in nighttime-light changes and highlights the difficulty of interpreting short-term effects in regions affected by cloud cover, seasonal variation, and heterogeneous settlement patterns. It is especially relevant to tropical and Southeast Asian NTL applications.</w:t>
      </w:r>
    </w:p>
    <w:p w14:paraId="0A056D69" w14:textId="77777777" w:rsidR="00CC4CE9" w:rsidRPr="009D7290" w:rsidRDefault="00CC4CE9" w:rsidP="008D4334">
      <w:pPr>
        <w:pStyle w:val="Citationparagraph"/>
        <w:spacing w:line="240" w:lineRule="auto"/>
        <w:rPr>
          <w:rFonts w:ascii="Arial" w:hAnsi="Arial" w:cs="Arial"/>
          <w:sz w:val="16"/>
          <w:szCs w:val="16"/>
        </w:rPr>
      </w:pPr>
      <w:proofErr w:type="spellStart"/>
      <w:r w:rsidRPr="009D7290">
        <w:rPr>
          <w:rFonts w:ascii="Arial" w:hAnsi="Arial" w:cs="Arial"/>
          <w:sz w:val="16"/>
          <w:szCs w:val="16"/>
        </w:rPr>
        <w:t>Skoufias</w:t>
      </w:r>
      <w:proofErr w:type="spellEnd"/>
      <w:r w:rsidRPr="009D7290">
        <w:rPr>
          <w:rFonts w:ascii="Arial" w:hAnsi="Arial" w:cs="Arial"/>
          <w:sz w:val="16"/>
          <w:szCs w:val="16"/>
        </w:rPr>
        <w:t>, E., Strobl, E., &amp; Tveit, T. (2021). Can we rely on VIIRS nightlights to estimate the short-term impacts of natural hazards? Evidence from five Southeast Asian countries. Geomatics, Natural Hazards and Risk, 12(1), 381-404. https://doi.org/10.1080/19475705.2021.1879943</w:t>
      </w:r>
    </w:p>
    <w:p w14:paraId="0D4315BD"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t>Jia et al. - Estimating Natural Disaster Loss Using Improved Daily Night-Time Light Data</w:t>
      </w:r>
    </w:p>
    <w:p w14:paraId="61A5ADCB"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Jia et al. (2023) estimate natural disaster losses using improved daily nighttime-light data. The study focuses on enhancing daily NTL before linking radiance changes to disaster losses, reflecting a broader movement toward better preprocessing and time-series stability in disaster applications. It contributes to the methodological literature on using daily NTL as a loss proxy while acknowledging that data quality influences loss estimation.</w:t>
      </w:r>
    </w:p>
    <w:p w14:paraId="2C0933E5"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 xml:space="preserve">Jia, M., Li, X., Gong, Y., Belabbes, S., &amp; </w:t>
      </w:r>
      <w:proofErr w:type="spellStart"/>
      <w:r w:rsidRPr="009D7290">
        <w:rPr>
          <w:rFonts w:ascii="Arial" w:hAnsi="Arial" w:cs="Arial"/>
          <w:sz w:val="16"/>
          <w:szCs w:val="16"/>
        </w:rPr>
        <w:t>Dell’Oro</w:t>
      </w:r>
      <w:proofErr w:type="spellEnd"/>
      <w:r w:rsidRPr="009D7290">
        <w:rPr>
          <w:rFonts w:ascii="Arial" w:hAnsi="Arial" w:cs="Arial"/>
          <w:sz w:val="16"/>
          <w:szCs w:val="16"/>
        </w:rPr>
        <w:t>, L. (2023). Estimating natural disaster loss using improved daily night-time light data. International Journal of Applied Earth Observation and Geoinformation, 120, 103359. https://doi.org/10.1016/j.jag.2023.103359</w:t>
      </w:r>
    </w:p>
    <w:p w14:paraId="7818A165"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t>Levin - Using Night Lights from Space to Assess Areas Impacted by the 2023 Turkey Earthquake</w:t>
      </w:r>
    </w:p>
    <w:p w14:paraId="63F48B49"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Levin (2023) uses night lights from space to assess areas affected by the 2023 Türkiye earthquake. The study compares pre- and post-earthquake nighttime-light conditions, identifies areas with light reduction, and discusses the role of cloud-free observations in event-specific assessment. It provides a recent example of using NTL for acute disaster-impact mapping outside cyclone contexts.</w:t>
      </w:r>
    </w:p>
    <w:p w14:paraId="3790696E"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Levin, N. (2023). Using night lights from space to assess areas impacted by the 2023 Turkey earthquake. Remote Sensing, 15(8), 2120. https://doi.org/10.3390/rs15082120</w:t>
      </w:r>
    </w:p>
    <w:p w14:paraId="3A2968BE"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lastRenderedPageBreak/>
        <w:t>Hu et al. - Whole-Process Assessment of Flood Resilience in Urban and Rural Communities Based on Nighttime Lights</w:t>
      </w:r>
    </w:p>
    <w:p w14:paraId="61A41B4F"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 xml:space="preserve">Hu et al. (2025) assess flood resilience in urban and rural communities using nighttime lights, with the </w:t>
      </w:r>
      <w:proofErr w:type="spellStart"/>
      <w:r w:rsidRPr="009D7290">
        <w:rPr>
          <w:rFonts w:ascii="Arial" w:hAnsi="Arial" w:cs="Arial"/>
          <w:sz w:val="16"/>
          <w:szCs w:val="16"/>
        </w:rPr>
        <w:t>Zhuozhou</w:t>
      </w:r>
      <w:proofErr w:type="spellEnd"/>
      <w:r w:rsidRPr="009D7290">
        <w:rPr>
          <w:rFonts w:ascii="Arial" w:hAnsi="Arial" w:cs="Arial"/>
          <w:sz w:val="16"/>
          <w:szCs w:val="16"/>
        </w:rPr>
        <w:t xml:space="preserve"> flood as a case study. The paper examines flood impact and recovery as a whole process rather than a single event snapshot. It contributes to the recovery literature by using NTL trajectories to compare resilience-related behavior across urban and rural community contexts.</w:t>
      </w:r>
    </w:p>
    <w:p w14:paraId="6FB8A12E"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 xml:space="preserve">Hu, Y., Liu, Y., &amp; Zeng, H. (2025). Whole-process assessment of flood resilience in urban and rural communities based on nighttime lights: A case study of the </w:t>
      </w:r>
      <w:proofErr w:type="spellStart"/>
      <w:r w:rsidRPr="009D7290">
        <w:rPr>
          <w:rFonts w:ascii="Arial" w:hAnsi="Arial" w:cs="Arial"/>
          <w:sz w:val="16"/>
          <w:szCs w:val="16"/>
        </w:rPr>
        <w:t>Zhuozhou</w:t>
      </w:r>
      <w:proofErr w:type="spellEnd"/>
      <w:r w:rsidRPr="009D7290">
        <w:rPr>
          <w:rFonts w:ascii="Arial" w:hAnsi="Arial" w:cs="Arial"/>
          <w:sz w:val="16"/>
          <w:szCs w:val="16"/>
        </w:rPr>
        <w:t xml:space="preserve"> flood. Urban Climate, 61, 102438. https://doi.org/10.1016/j.uclim.2025.102438</w:t>
      </w:r>
    </w:p>
    <w:p w14:paraId="190C48BD" w14:textId="77777777" w:rsidR="00CC4CE9" w:rsidRPr="009D7290" w:rsidRDefault="00CC4CE9" w:rsidP="008D4334">
      <w:pPr>
        <w:pStyle w:val="Heading2"/>
        <w:spacing w:line="240" w:lineRule="auto"/>
        <w:rPr>
          <w:rFonts w:ascii="Arial" w:hAnsi="Arial" w:cs="Arial"/>
          <w:color w:val="0432FF"/>
          <w:sz w:val="16"/>
          <w:szCs w:val="16"/>
        </w:rPr>
      </w:pPr>
      <w:r w:rsidRPr="009D7290">
        <w:rPr>
          <w:rFonts w:ascii="Arial" w:hAnsi="Arial" w:cs="Arial"/>
          <w:color w:val="0432FF"/>
          <w:sz w:val="16"/>
          <w:szCs w:val="16"/>
        </w:rPr>
        <w:t>Mo et al. - Daily Night-Time Lights Reveal Prolonging Global Electric Power System Recovery Times Following Tropical Cyclone Damage</w:t>
      </w:r>
    </w:p>
    <w:p w14:paraId="074F4B36" w14:textId="77777777" w:rsidR="00CC4CE9" w:rsidRPr="009D7290" w:rsidRDefault="00CC4CE9" w:rsidP="008D4334">
      <w:pPr>
        <w:spacing w:line="240" w:lineRule="auto"/>
        <w:rPr>
          <w:rFonts w:ascii="Arial" w:hAnsi="Arial" w:cs="Arial"/>
          <w:sz w:val="16"/>
          <w:szCs w:val="16"/>
        </w:rPr>
      </w:pPr>
      <w:r w:rsidRPr="009D7290">
        <w:rPr>
          <w:rFonts w:ascii="Arial" w:hAnsi="Arial" w:cs="Arial"/>
          <w:sz w:val="16"/>
          <w:szCs w:val="16"/>
        </w:rPr>
        <w:t>Mo et al. (2025) analyze global electric power-system recovery after tropical cyclone damage using daily nighttime lights. The study examines recovery time across events and regions, showing how NTL can be used to compare electricity-related disruption at broad scale. It is a recent example of moving from single-event NTL studies toward multi-event, globally comparative recovery analysis.</w:t>
      </w:r>
    </w:p>
    <w:p w14:paraId="08051436" w14:textId="77777777" w:rsidR="00CC4CE9" w:rsidRPr="009D7290" w:rsidRDefault="00CC4CE9" w:rsidP="008D4334">
      <w:pPr>
        <w:pStyle w:val="Citationparagraph"/>
        <w:spacing w:line="240" w:lineRule="auto"/>
        <w:rPr>
          <w:rFonts w:ascii="Arial" w:hAnsi="Arial" w:cs="Arial"/>
          <w:sz w:val="16"/>
          <w:szCs w:val="16"/>
        </w:rPr>
      </w:pPr>
      <w:r w:rsidRPr="009D7290">
        <w:rPr>
          <w:rFonts w:ascii="Arial" w:hAnsi="Arial" w:cs="Arial"/>
          <w:sz w:val="16"/>
          <w:szCs w:val="16"/>
        </w:rPr>
        <w:t>Mo, Y., Thomas, F., Rui, J., &amp; Hall, J. W. (2025). Daily night-time lights reveal prolonging global electric power system recovery times following tropical cyclone damage. Environmental Research: Infrastructure and Sustainability, 5(3), 035001. https://doi.org/10.1088/2634-4505/ade474</w:t>
      </w:r>
    </w:p>
    <w:p w14:paraId="45E51AEE"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Bollettino et al. - Public Perception of Climate Change and Disaster Preparedness in the Philippines</w:t>
      </w:r>
    </w:p>
    <w:p w14:paraId="014708F6"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Bollettino et al. (2020) examine public perception of climate change and disaster preparedness in the Philippines. The paper provides social context for disaster risk by showing how climate-change perception, preparedness, and vulnerability interact in a hazard-prone country. It supports RRL framing that Philippine disaster risk is both physical and social.</w:t>
      </w:r>
    </w:p>
    <w:p w14:paraId="1D2F7972"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Bollettino, V., Alcayna-Stevens, T., Sharma, M., Dy, P., Pham, P., &amp; Vinck, P. (2020). Public perception of climate change and disaster preparedness: Evidence from the Philippines. Climate Risk Management, 30, 100250. https://doi.org/10.1016/j.crm.2020.100250</w:t>
      </w:r>
    </w:p>
    <w:p w14:paraId="4152C71B" w14:textId="77777777" w:rsidR="00CC4CE9" w:rsidRPr="005D0846" w:rsidRDefault="00CC4CE9" w:rsidP="008D4334">
      <w:pPr>
        <w:pStyle w:val="Heading2"/>
        <w:spacing w:line="240" w:lineRule="auto"/>
        <w:rPr>
          <w:rFonts w:ascii="Arial" w:hAnsi="Arial" w:cs="Arial"/>
          <w:color w:val="0432FF"/>
          <w:sz w:val="16"/>
          <w:szCs w:val="16"/>
        </w:rPr>
      </w:pPr>
      <w:proofErr w:type="spellStart"/>
      <w:r w:rsidRPr="005D0846">
        <w:rPr>
          <w:rFonts w:ascii="Arial" w:hAnsi="Arial" w:cs="Arial"/>
          <w:color w:val="0432FF"/>
          <w:sz w:val="16"/>
          <w:szCs w:val="16"/>
        </w:rPr>
        <w:t>Iuchi</w:t>
      </w:r>
      <w:proofErr w:type="spellEnd"/>
      <w:r w:rsidRPr="005D0846">
        <w:rPr>
          <w:rFonts w:ascii="Arial" w:hAnsi="Arial" w:cs="Arial"/>
          <w:color w:val="0432FF"/>
          <w:sz w:val="16"/>
          <w:szCs w:val="16"/>
        </w:rPr>
        <w:t xml:space="preserve"> et al. - Natural Hazards Governance in the Philippines</w:t>
      </w:r>
    </w:p>
    <w:p w14:paraId="1FAD4119" w14:textId="77777777" w:rsidR="00CC4CE9" w:rsidRPr="005D0846" w:rsidRDefault="00CC4CE9" w:rsidP="008D4334">
      <w:pPr>
        <w:spacing w:line="240" w:lineRule="auto"/>
        <w:rPr>
          <w:rFonts w:ascii="Arial" w:hAnsi="Arial" w:cs="Arial"/>
          <w:sz w:val="16"/>
          <w:szCs w:val="16"/>
        </w:rPr>
      </w:pPr>
      <w:proofErr w:type="spellStart"/>
      <w:r w:rsidRPr="005D0846">
        <w:rPr>
          <w:rFonts w:ascii="Arial" w:hAnsi="Arial" w:cs="Arial"/>
          <w:sz w:val="16"/>
          <w:szCs w:val="16"/>
        </w:rPr>
        <w:t>Iuchi</w:t>
      </w:r>
      <w:proofErr w:type="spellEnd"/>
      <w:r w:rsidRPr="005D0846">
        <w:rPr>
          <w:rFonts w:ascii="Arial" w:hAnsi="Arial" w:cs="Arial"/>
          <w:sz w:val="16"/>
          <w:szCs w:val="16"/>
        </w:rPr>
        <w:t xml:space="preserve"> et al. (2019) review natural-hazards governance in the Philippines. The chapter discusses institutional structures, risk governance, and the management of recurrent hazards in a multi-hazard archipelago. It provides governance context for interpreting disaster recovery beyond physical or satellite-observed indicators.</w:t>
      </w:r>
    </w:p>
    <w:p w14:paraId="54A715A0" w14:textId="7D7B804B" w:rsidR="00CC4CE9" w:rsidRPr="005D0846" w:rsidRDefault="00CC4CE9" w:rsidP="008D4334">
      <w:pPr>
        <w:pStyle w:val="Citationparagraph"/>
        <w:spacing w:line="240" w:lineRule="auto"/>
        <w:rPr>
          <w:rFonts w:ascii="Arial" w:hAnsi="Arial" w:cs="Arial"/>
          <w:sz w:val="16"/>
          <w:szCs w:val="16"/>
        </w:rPr>
      </w:pPr>
      <w:proofErr w:type="spellStart"/>
      <w:r w:rsidRPr="005D0846">
        <w:rPr>
          <w:rFonts w:ascii="Arial" w:hAnsi="Arial" w:cs="Arial"/>
          <w:sz w:val="16"/>
          <w:szCs w:val="16"/>
        </w:rPr>
        <w:t>Iuchi</w:t>
      </w:r>
      <w:proofErr w:type="spellEnd"/>
      <w:r w:rsidRPr="005D0846">
        <w:rPr>
          <w:rFonts w:ascii="Arial" w:hAnsi="Arial" w:cs="Arial"/>
          <w:sz w:val="16"/>
          <w:szCs w:val="16"/>
        </w:rPr>
        <w:t xml:space="preserve">, K., </w:t>
      </w:r>
      <w:proofErr w:type="spellStart"/>
      <w:r w:rsidRPr="005D0846">
        <w:rPr>
          <w:rFonts w:ascii="Arial" w:hAnsi="Arial" w:cs="Arial"/>
          <w:sz w:val="16"/>
          <w:szCs w:val="16"/>
        </w:rPr>
        <w:t>Jibiki</w:t>
      </w:r>
      <w:proofErr w:type="spellEnd"/>
      <w:r w:rsidRPr="005D0846">
        <w:rPr>
          <w:rFonts w:ascii="Arial" w:hAnsi="Arial" w:cs="Arial"/>
          <w:sz w:val="16"/>
          <w:szCs w:val="16"/>
        </w:rPr>
        <w:t xml:space="preserve">, Y., Solidum, R., &amp; Santiago, R. (2019). Natural hazards governance in the Philippines. Oxford Research Encyclopedia of Natural Hazard Science. </w:t>
      </w:r>
    </w:p>
    <w:p w14:paraId="28F58826"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Japan International Cooperation Agency et al. - Disaster Resiliency of Electric Power Distribution Network in the Philippines</w:t>
      </w:r>
    </w:p>
    <w:p w14:paraId="6E74D84B"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JICA, Shikoku Electric Power, and the Japan Economic Research Institute (2015) provide a data-collection report on incentive mechanisms for improving disaster resiliency of electric power distribution networks in the Philippines. The report documents institutional, technical, and reporting issues in electric distribution systems, including the challenge of post-typhoon restoration and utility data limitations. It is an important non-NTL infrastructure source for Philippine electricity-recovery context.</w:t>
      </w:r>
    </w:p>
    <w:p w14:paraId="139AA1D2"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 xml:space="preserve">Japan International Cooperation Agency, Shikoku Electric Power Co., Inc., &amp; Japan Economic Research Institute. (2015). Republic of the Philippines data collection survey on the incentive mechanism for improving disaster resiliency of electric power distribution network: Final report. JICA. </w:t>
      </w:r>
    </w:p>
    <w:p w14:paraId="2E3EB069"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Correa et al. - How Many Smartphones Does It Take to Detect a Power Outage?</w:t>
      </w:r>
    </w:p>
    <w:p w14:paraId="36026BAF"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Correa et al. (2018) examine whether smartphone connectivity data can detect power outages. The study is not based on NTL, but it is relevant to outage monitoring because it evaluates alternative data streams for detecting electricity-service interruptions. It demonstrates the broader problem of underreported outages and the potential value of indirect, spatially distributed observation systems.</w:t>
      </w:r>
    </w:p>
    <w:p w14:paraId="15E9F39D" w14:textId="05F5B7FC"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 xml:space="preserve">Correa, S., Klugman, N., &amp; Taneja, J. (2018). How many smartphones does it take to detect a power outage? Proceedings of the ACM SIGCAS Conference on Computing and Sustainable Societies. </w:t>
      </w:r>
    </w:p>
    <w:p w14:paraId="4B339C1C"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Kishore et al. - Mortality in Puerto Rico after Hurricane Maria</w:t>
      </w:r>
    </w:p>
    <w:p w14:paraId="15F8C25B"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Kishore et al. (2018) estimate excess mortality in Puerto Rico after Hurricane Maria using a household survey. The study reports mortality far above the initial official count and identifies interruption of health care, electricity, and basic services as key pathways of disaster mortality. It provides a public-health basis for treating electricity restoration as a critical post-disaster recovery issue.</w:t>
      </w:r>
    </w:p>
    <w:p w14:paraId="0344CAEB"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Kishore, N., Marqués, D., Mahmud, A., Kiang, M. V., Rodriguez, I., Fuller, A., Ebner, P., Sorensen, C., Racy, F., Lemery, J., Maas, L., Leaning, J., Irizarry, R. A., Balsari, S., &amp; Buckee, C. O. (2018). Mortality in Puerto Rico after Hurricane Maria. New England Journal of Medicine, 379(2), 162-170. https://doi.org/10.1056/NEJMsa1803972</w:t>
      </w:r>
    </w:p>
    <w:p w14:paraId="01295325"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Larsen et al. - Projecting Future Costs to U.S. Electric Utility Customers from Power Interruptions</w:t>
      </w:r>
    </w:p>
    <w:p w14:paraId="296767A5"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Larsen et al. (2018) estimate future costs of power interruptions to U.S. electric utility customers under climate-change scenarios. The study quantifies economic losses associated with outages and projects how weather-related interruptions could become more costly. It provides economic context for why outage duration and restoration monitoring matter after extreme weather events.</w:t>
      </w:r>
    </w:p>
    <w:p w14:paraId="7EFFEE10"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Larsen, P. H., Boehlert, B., Eto, J., Hamachi-LaCommare, K., Martinich, J., &amp; Rennels, L. (2018). Projecting future costs to U.S. electric utility customers from power interruptions. Energy, 147, 1256-1277. https://doi.org/10.1016/j.energy.2017.12.081</w:t>
      </w:r>
    </w:p>
    <w:p w14:paraId="3B5CD3B3"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National Disaster Risk Reduction and Management Council - Final Report on Typhoon Yolanda</w:t>
      </w:r>
    </w:p>
    <w:p w14:paraId="7332457A"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NDRRMC (2015) provides the official final report on the effects of Typhoon Yolanda/Haiyan in the Philippines. The report documents affected populations, casualties, housing damage, infrastructure damage, economic losses, and response actions. It is the central official source for event-scale impact statistics used in Philippine Yolanda-related disaster studies.</w:t>
      </w:r>
    </w:p>
    <w:p w14:paraId="6AA05626"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 xml:space="preserve">National Disaster Risk Reduction and Management Council. (2015). Final report re effects of Typhoon Yolanda (Haiyan). Government of the Philippines. </w:t>
      </w:r>
    </w:p>
    <w:p w14:paraId="2415E12C" w14:textId="77777777" w:rsidR="00CC4CE9" w:rsidRPr="005D0846" w:rsidRDefault="00CC4CE9" w:rsidP="008D4334">
      <w:pPr>
        <w:pStyle w:val="Heading2"/>
        <w:spacing w:line="240" w:lineRule="auto"/>
        <w:rPr>
          <w:rFonts w:ascii="Arial" w:hAnsi="Arial" w:cs="Arial"/>
          <w:color w:val="0432FF"/>
          <w:sz w:val="16"/>
          <w:szCs w:val="16"/>
        </w:rPr>
      </w:pPr>
      <w:proofErr w:type="spellStart"/>
      <w:r w:rsidRPr="005D0846">
        <w:rPr>
          <w:rFonts w:ascii="Arial" w:hAnsi="Arial" w:cs="Arial"/>
          <w:color w:val="0432FF"/>
          <w:sz w:val="16"/>
          <w:szCs w:val="16"/>
        </w:rPr>
        <w:lastRenderedPageBreak/>
        <w:t>Bündnis</w:t>
      </w:r>
      <w:proofErr w:type="spellEnd"/>
      <w:r w:rsidRPr="005D0846">
        <w:rPr>
          <w:rFonts w:ascii="Arial" w:hAnsi="Arial" w:cs="Arial"/>
          <w:color w:val="0432FF"/>
          <w:sz w:val="16"/>
          <w:szCs w:val="16"/>
        </w:rPr>
        <w:t xml:space="preserve"> </w:t>
      </w:r>
      <w:proofErr w:type="spellStart"/>
      <w:r w:rsidRPr="005D0846">
        <w:rPr>
          <w:rFonts w:ascii="Arial" w:hAnsi="Arial" w:cs="Arial"/>
          <w:color w:val="0432FF"/>
          <w:sz w:val="16"/>
          <w:szCs w:val="16"/>
        </w:rPr>
        <w:t>Entwicklung</w:t>
      </w:r>
      <w:proofErr w:type="spellEnd"/>
      <w:r w:rsidRPr="005D0846">
        <w:rPr>
          <w:rFonts w:ascii="Arial" w:hAnsi="Arial" w:cs="Arial"/>
          <w:color w:val="0432FF"/>
          <w:sz w:val="16"/>
          <w:szCs w:val="16"/>
        </w:rPr>
        <w:t xml:space="preserve"> </w:t>
      </w:r>
      <w:proofErr w:type="spellStart"/>
      <w:r w:rsidRPr="005D0846">
        <w:rPr>
          <w:rFonts w:ascii="Arial" w:hAnsi="Arial" w:cs="Arial"/>
          <w:color w:val="0432FF"/>
          <w:sz w:val="16"/>
          <w:szCs w:val="16"/>
        </w:rPr>
        <w:t>Hilft</w:t>
      </w:r>
      <w:proofErr w:type="spellEnd"/>
      <w:r w:rsidRPr="005D0846">
        <w:rPr>
          <w:rFonts w:ascii="Arial" w:hAnsi="Arial" w:cs="Arial"/>
          <w:color w:val="0432FF"/>
          <w:sz w:val="16"/>
          <w:szCs w:val="16"/>
        </w:rPr>
        <w:t xml:space="preserve"> and IFHV - </w:t>
      </w:r>
      <w:proofErr w:type="spellStart"/>
      <w:r w:rsidRPr="005D0846">
        <w:rPr>
          <w:rFonts w:ascii="Arial" w:hAnsi="Arial" w:cs="Arial"/>
          <w:color w:val="0432FF"/>
          <w:sz w:val="16"/>
          <w:szCs w:val="16"/>
        </w:rPr>
        <w:t>WorldRiskReport</w:t>
      </w:r>
      <w:proofErr w:type="spellEnd"/>
      <w:r w:rsidRPr="005D0846">
        <w:rPr>
          <w:rFonts w:ascii="Arial" w:hAnsi="Arial" w:cs="Arial"/>
          <w:color w:val="0432FF"/>
          <w:sz w:val="16"/>
          <w:szCs w:val="16"/>
        </w:rPr>
        <w:t xml:space="preserve"> 2023</w:t>
      </w:r>
    </w:p>
    <w:p w14:paraId="766C2800" w14:textId="77777777" w:rsidR="00CC4CE9" w:rsidRPr="005D0846" w:rsidRDefault="00CC4CE9" w:rsidP="008D4334">
      <w:pPr>
        <w:spacing w:line="240" w:lineRule="auto"/>
        <w:rPr>
          <w:rFonts w:ascii="Arial" w:hAnsi="Arial" w:cs="Arial"/>
          <w:sz w:val="16"/>
          <w:szCs w:val="16"/>
        </w:rPr>
      </w:pPr>
      <w:proofErr w:type="spellStart"/>
      <w:r w:rsidRPr="005D0846">
        <w:rPr>
          <w:rFonts w:ascii="Arial" w:hAnsi="Arial" w:cs="Arial"/>
          <w:sz w:val="16"/>
          <w:szCs w:val="16"/>
        </w:rPr>
        <w:t>Bündnis</w:t>
      </w:r>
      <w:proofErr w:type="spellEnd"/>
      <w:r w:rsidRPr="005D0846">
        <w:rPr>
          <w:rFonts w:ascii="Arial" w:hAnsi="Arial" w:cs="Arial"/>
          <w:sz w:val="16"/>
          <w:szCs w:val="16"/>
        </w:rPr>
        <w:t xml:space="preserve"> </w:t>
      </w:r>
      <w:proofErr w:type="spellStart"/>
      <w:r w:rsidRPr="005D0846">
        <w:rPr>
          <w:rFonts w:ascii="Arial" w:hAnsi="Arial" w:cs="Arial"/>
          <w:sz w:val="16"/>
          <w:szCs w:val="16"/>
        </w:rPr>
        <w:t>Entwicklung</w:t>
      </w:r>
      <w:proofErr w:type="spellEnd"/>
      <w:r w:rsidRPr="005D0846">
        <w:rPr>
          <w:rFonts w:ascii="Arial" w:hAnsi="Arial" w:cs="Arial"/>
          <w:sz w:val="16"/>
          <w:szCs w:val="16"/>
        </w:rPr>
        <w:t xml:space="preserve"> </w:t>
      </w:r>
      <w:proofErr w:type="spellStart"/>
      <w:r w:rsidRPr="005D0846">
        <w:rPr>
          <w:rFonts w:ascii="Arial" w:hAnsi="Arial" w:cs="Arial"/>
          <w:sz w:val="16"/>
          <w:szCs w:val="16"/>
        </w:rPr>
        <w:t>Hilft</w:t>
      </w:r>
      <w:proofErr w:type="spellEnd"/>
      <w:r w:rsidRPr="005D0846">
        <w:rPr>
          <w:rFonts w:ascii="Arial" w:hAnsi="Arial" w:cs="Arial"/>
          <w:sz w:val="16"/>
          <w:szCs w:val="16"/>
        </w:rPr>
        <w:t xml:space="preserve"> and IFHV (2023) present the </w:t>
      </w:r>
      <w:proofErr w:type="spellStart"/>
      <w:r w:rsidRPr="005D0846">
        <w:rPr>
          <w:rFonts w:ascii="Arial" w:hAnsi="Arial" w:cs="Arial"/>
          <w:sz w:val="16"/>
          <w:szCs w:val="16"/>
        </w:rPr>
        <w:t>WorldRiskReport</w:t>
      </w:r>
      <w:proofErr w:type="spellEnd"/>
      <w:r w:rsidRPr="005D0846">
        <w:rPr>
          <w:rFonts w:ascii="Arial" w:hAnsi="Arial" w:cs="Arial"/>
          <w:sz w:val="16"/>
          <w:szCs w:val="16"/>
        </w:rPr>
        <w:t xml:space="preserve"> and </w:t>
      </w:r>
      <w:proofErr w:type="spellStart"/>
      <w:r w:rsidRPr="005D0846">
        <w:rPr>
          <w:rFonts w:ascii="Arial" w:hAnsi="Arial" w:cs="Arial"/>
          <w:sz w:val="16"/>
          <w:szCs w:val="16"/>
        </w:rPr>
        <w:t>WorldRiskIndex</w:t>
      </w:r>
      <w:proofErr w:type="spellEnd"/>
      <w:r w:rsidRPr="005D0846">
        <w:rPr>
          <w:rFonts w:ascii="Arial" w:hAnsi="Arial" w:cs="Arial"/>
          <w:sz w:val="16"/>
          <w:szCs w:val="16"/>
        </w:rPr>
        <w:t>, which rank countries based on exposure and vulnerability components. The report frames disaster risk as a combination of hazards and societal conditions, including susceptibility, lack of coping capacity, and lack of adaptive capacity. It provides a comparative global risk context for Philippine disaster research.</w:t>
      </w:r>
    </w:p>
    <w:p w14:paraId="2E479218" w14:textId="77777777" w:rsidR="00CC4CE9" w:rsidRPr="005D0846" w:rsidRDefault="00CC4CE9" w:rsidP="008D4334">
      <w:pPr>
        <w:pStyle w:val="Citationparagraph"/>
        <w:spacing w:line="240" w:lineRule="auto"/>
        <w:rPr>
          <w:rFonts w:ascii="Arial" w:hAnsi="Arial" w:cs="Arial"/>
          <w:sz w:val="16"/>
          <w:szCs w:val="16"/>
        </w:rPr>
      </w:pPr>
      <w:proofErr w:type="spellStart"/>
      <w:r w:rsidRPr="005D0846">
        <w:rPr>
          <w:rFonts w:ascii="Arial" w:hAnsi="Arial" w:cs="Arial"/>
          <w:sz w:val="16"/>
          <w:szCs w:val="16"/>
        </w:rPr>
        <w:t>Bündnis</w:t>
      </w:r>
      <w:proofErr w:type="spellEnd"/>
      <w:r w:rsidRPr="005D0846">
        <w:rPr>
          <w:rFonts w:ascii="Arial" w:hAnsi="Arial" w:cs="Arial"/>
          <w:sz w:val="16"/>
          <w:szCs w:val="16"/>
        </w:rPr>
        <w:t xml:space="preserve"> </w:t>
      </w:r>
      <w:proofErr w:type="spellStart"/>
      <w:r w:rsidRPr="005D0846">
        <w:rPr>
          <w:rFonts w:ascii="Arial" w:hAnsi="Arial" w:cs="Arial"/>
          <w:sz w:val="16"/>
          <w:szCs w:val="16"/>
        </w:rPr>
        <w:t>Entwicklung</w:t>
      </w:r>
      <w:proofErr w:type="spellEnd"/>
      <w:r w:rsidRPr="005D0846">
        <w:rPr>
          <w:rFonts w:ascii="Arial" w:hAnsi="Arial" w:cs="Arial"/>
          <w:sz w:val="16"/>
          <w:szCs w:val="16"/>
        </w:rPr>
        <w:t xml:space="preserve"> </w:t>
      </w:r>
      <w:proofErr w:type="spellStart"/>
      <w:r w:rsidRPr="005D0846">
        <w:rPr>
          <w:rFonts w:ascii="Arial" w:hAnsi="Arial" w:cs="Arial"/>
          <w:sz w:val="16"/>
          <w:szCs w:val="16"/>
        </w:rPr>
        <w:t>Hilft</w:t>
      </w:r>
      <w:proofErr w:type="spellEnd"/>
      <w:r w:rsidRPr="005D0846">
        <w:rPr>
          <w:rFonts w:ascii="Arial" w:hAnsi="Arial" w:cs="Arial"/>
          <w:sz w:val="16"/>
          <w:szCs w:val="16"/>
        </w:rPr>
        <w:t xml:space="preserve"> &amp; Institute for International Law of Peace and Armed Conflict. (2023). </w:t>
      </w:r>
      <w:proofErr w:type="spellStart"/>
      <w:r w:rsidRPr="005D0846">
        <w:rPr>
          <w:rFonts w:ascii="Arial" w:hAnsi="Arial" w:cs="Arial"/>
          <w:sz w:val="16"/>
          <w:szCs w:val="16"/>
        </w:rPr>
        <w:t>WorldRiskReport</w:t>
      </w:r>
      <w:proofErr w:type="spellEnd"/>
      <w:r w:rsidRPr="005D0846">
        <w:rPr>
          <w:rFonts w:ascii="Arial" w:hAnsi="Arial" w:cs="Arial"/>
          <w:sz w:val="16"/>
          <w:szCs w:val="16"/>
        </w:rPr>
        <w:t xml:space="preserve"> 2023: Focus: Diversity. </w:t>
      </w:r>
      <w:proofErr w:type="spellStart"/>
      <w:r w:rsidRPr="005D0846">
        <w:rPr>
          <w:rFonts w:ascii="Arial" w:hAnsi="Arial" w:cs="Arial"/>
          <w:sz w:val="16"/>
          <w:szCs w:val="16"/>
        </w:rPr>
        <w:t>Bündnis</w:t>
      </w:r>
      <w:proofErr w:type="spellEnd"/>
      <w:r w:rsidRPr="005D0846">
        <w:rPr>
          <w:rFonts w:ascii="Arial" w:hAnsi="Arial" w:cs="Arial"/>
          <w:sz w:val="16"/>
          <w:szCs w:val="16"/>
        </w:rPr>
        <w:t xml:space="preserve"> </w:t>
      </w:r>
      <w:proofErr w:type="spellStart"/>
      <w:r w:rsidRPr="005D0846">
        <w:rPr>
          <w:rFonts w:ascii="Arial" w:hAnsi="Arial" w:cs="Arial"/>
          <w:sz w:val="16"/>
          <w:szCs w:val="16"/>
        </w:rPr>
        <w:t>Entwicklung</w:t>
      </w:r>
      <w:proofErr w:type="spellEnd"/>
      <w:r w:rsidRPr="005D0846">
        <w:rPr>
          <w:rFonts w:ascii="Arial" w:hAnsi="Arial" w:cs="Arial"/>
          <w:sz w:val="16"/>
          <w:szCs w:val="16"/>
        </w:rPr>
        <w:t xml:space="preserve"> </w:t>
      </w:r>
      <w:proofErr w:type="spellStart"/>
      <w:r w:rsidRPr="005D0846">
        <w:rPr>
          <w:rFonts w:ascii="Arial" w:hAnsi="Arial" w:cs="Arial"/>
          <w:sz w:val="16"/>
          <w:szCs w:val="16"/>
        </w:rPr>
        <w:t>Hilft</w:t>
      </w:r>
      <w:proofErr w:type="spellEnd"/>
      <w:r w:rsidRPr="005D0846">
        <w:rPr>
          <w:rFonts w:ascii="Arial" w:hAnsi="Arial" w:cs="Arial"/>
          <w:sz w:val="16"/>
          <w:szCs w:val="16"/>
        </w:rPr>
        <w:t xml:space="preserve">. </w:t>
      </w:r>
    </w:p>
    <w:p w14:paraId="0ABC7392"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UNDRR - Global Assessment Report on Disaster Risk Reduction 2022</w:t>
      </w:r>
    </w:p>
    <w:p w14:paraId="7AAA5B23"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UNDRR (2022) provides a global assessment of disaster risk reduction, emphasizing systemic risk, governance, and the need to transform risk management. The report frames disasters as outcomes of interacting hazards, exposure, vulnerability, and capacity. It is useful for grounding RRL definitions and for avoiding hazard-only explanations of disaster impact.</w:t>
      </w:r>
    </w:p>
    <w:p w14:paraId="74774945"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 xml:space="preserve">United Nations Office for Disaster Risk Reduction. (2022). Global Assessment Report on Disaster Risk Reduction 2022: Our World at Risk: Transforming Governance for a Resilient Future. UNDRR. </w:t>
      </w:r>
    </w:p>
    <w:p w14:paraId="1F42CA23"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IDMC - Disaster-Induced Internal Displacement in the Philippines: Tropical Storm Washi/</w:t>
      </w:r>
      <w:proofErr w:type="spellStart"/>
      <w:r w:rsidRPr="005D0846">
        <w:rPr>
          <w:rFonts w:ascii="Arial" w:hAnsi="Arial" w:cs="Arial"/>
          <w:color w:val="0432FF"/>
          <w:sz w:val="16"/>
          <w:szCs w:val="16"/>
        </w:rPr>
        <w:t>Sendong</w:t>
      </w:r>
      <w:proofErr w:type="spellEnd"/>
    </w:p>
    <w:p w14:paraId="6051741C"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IDMC (2013) examines disaster-induced internal displacement in the Philippines through the case of Tropical Storm Washi/</w:t>
      </w:r>
      <w:proofErr w:type="spellStart"/>
      <w:r w:rsidRPr="005D0846">
        <w:rPr>
          <w:rFonts w:ascii="Arial" w:hAnsi="Arial" w:cs="Arial"/>
          <w:sz w:val="16"/>
          <w:szCs w:val="16"/>
        </w:rPr>
        <w:t>Sendong</w:t>
      </w:r>
      <w:proofErr w:type="spellEnd"/>
      <w:r w:rsidRPr="005D0846">
        <w:rPr>
          <w:rFonts w:ascii="Arial" w:hAnsi="Arial" w:cs="Arial"/>
          <w:sz w:val="16"/>
          <w:szCs w:val="16"/>
        </w:rPr>
        <w:t>. The report documents displacement drivers, institutional response, resettlement challenges, and risk-reduction issues. It provides background for interpreting post-disaster resettlement not only as housing relocation but as a long-term social and governance process.</w:t>
      </w:r>
    </w:p>
    <w:p w14:paraId="2FE03662"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Internal Displacement Monitoring Centre. (2013). Disaster-induced internal displacement in the Philippines: The case of Tropical Storm Washi/</w:t>
      </w:r>
      <w:proofErr w:type="spellStart"/>
      <w:r w:rsidRPr="005D0846">
        <w:rPr>
          <w:rFonts w:ascii="Arial" w:hAnsi="Arial" w:cs="Arial"/>
          <w:sz w:val="16"/>
          <w:szCs w:val="16"/>
        </w:rPr>
        <w:t>Sendong</w:t>
      </w:r>
      <w:proofErr w:type="spellEnd"/>
      <w:r w:rsidRPr="005D0846">
        <w:rPr>
          <w:rFonts w:ascii="Arial" w:hAnsi="Arial" w:cs="Arial"/>
          <w:sz w:val="16"/>
          <w:szCs w:val="16"/>
        </w:rPr>
        <w:t xml:space="preserve">. IDMC. </w:t>
      </w:r>
    </w:p>
    <w:p w14:paraId="479309C5"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Villanueva - Challenges and Opportunities for Sustainable Post-Disaster Resettlement in the Philippines</w:t>
      </w:r>
    </w:p>
    <w:p w14:paraId="6EEA9EEF"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Villanueva (2018) reviews challenges and opportunities for sustainable post-disaster resettlement in the Philippines. The work discusses why resettlement outcomes vary, including issues in livelihood access, service provision, planning, and risk exposure. It is a key contextual source for interpreting resettlement progress beyond physical construction or occupancy.</w:t>
      </w:r>
    </w:p>
    <w:p w14:paraId="39E024E5"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 xml:space="preserve">Villanueva, M. V. S. (2018). Challenges and opportunities for sustainable post-disaster resettlement in the Philippines. </w:t>
      </w:r>
      <w:proofErr w:type="spellStart"/>
      <w:r w:rsidRPr="005D0846">
        <w:rPr>
          <w:rFonts w:ascii="Arial" w:hAnsi="Arial" w:cs="Arial"/>
          <w:sz w:val="16"/>
          <w:szCs w:val="16"/>
        </w:rPr>
        <w:t>PreventionWeb</w:t>
      </w:r>
      <w:proofErr w:type="spellEnd"/>
      <w:r w:rsidRPr="005D0846">
        <w:rPr>
          <w:rFonts w:ascii="Arial" w:hAnsi="Arial" w:cs="Arial"/>
          <w:sz w:val="16"/>
          <w:szCs w:val="16"/>
        </w:rPr>
        <w:t xml:space="preserve">. </w:t>
      </w:r>
    </w:p>
    <w:p w14:paraId="66F43896"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 xml:space="preserve">Arroyo and </w:t>
      </w:r>
      <w:proofErr w:type="spellStart"/>
      <w:r w:rsidRPr="005D0846">
        <w:rPr>
          <w:rFonts w:ascii="Arial" w:hAnsi="Arial" w:cs="Arial"/>
          <w:color w:val="0432FF"/>
          <w:sz w:val="16"/>
          <w:szCs w:val="16"/>
        </w:rPr>
        <w:t>Åstrand</w:t>
      </w:r>
      <w:proofErr w:type="spellEnd"/>
      <w:r w:rsidRPr="005D0846">
        <w:rPr>
          <w:rFonts w:ascii="Arial" w:hAnsi="Arial" w:cs="Arial"/>
          <w:color w:val="0432FF"/>
          <w:sz w:val="16"/>
          <w:szCs w:val="16"/>
        </w:rPr>
        <w:t xml:space="preserve"> - Housing Recovery Outcomes after Typhoon Haiyan in the Philippines</w:t>
      </w:r>
    </w:p>
    <w:p w14:paraId="422BB2B3"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 xml:space="preserve">Arroyo and </w:t>
      </w:r>
      <w:proofErr w:type="spellStart"/>
      <w:r w:rsidRPr="005D0846">
        <w:rPr>
          <w:rFonts w:ascii="Arial" w:hAnsi="Arial" w:cs="Arial"/>
          <w:sz w:val="16"/>
          <w:szCs w:val="16"/>
        </w:rPr>
        <w:t>Åstrand</w:t>
      </w:r>
      <w:proofErr w:type="spellEnd"/>
      <w:r w:rsidRPr="005D0846">
        <w:rPr>
          <w:rFonts w:ascii="Arial" w:hAnsi="Arial" w:cs="Arial"/>
          <w:sz w:val="16"/>
          <w:szCs w:val="16"/>
        </w:rPr>
        <w:t xml:space="preserve"> (2019) analyze housing recovery outcomes after Typhoon Haiyan from a critical realist perspective. The study examines how housing recovery is shaped by institutional processes, social conditions, and contextual constraints. It provides a qualitative and theoretical counterpoint to satellite-based monitoring by emphasizing mechanisms behind observed recovery outcomes.</w:t>
      </w:r>
    </w:p>
    <w:p w14:paraId="21735F8F" w14:textId="3E9FDFE4"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 xml:space="preserve">Arroyo, I., &amp; </w:t>
      </w:r>
      <w:proofErr w:type="spellStart"/>
      <w:r w:rsidRPr="005D0846">
        <w:rPr>
          <w:rFonts w:ascii="Arial" w:hAnsi="Arial" w:cs="Arial"/>
          <w:sz w:val="16"/>
          <w:szCs w:val="16"/>
        </w:rPr>
        <w:t>Åstrand</w:t>
      </w:r>
      <w:proofErr w:type="spellEnd"/>
      <w:r w:rsidRPr="005D0846">
        <w:rPr>
          <w:rFonts w:ascii="Arial" w:hAnsi="Arial" w:cs="Arial"/>
          <w:sz w:val="16"/>
          <w:szCs w:val="16"/>
        </w:rPr>
        <w:t xml:space="preserve">, J. (2019). Housing recovery outcomes after Typhoon Haiyan in the Philippines: A critical realist perspective. Journal of Critical Realism, 18(2), 142-168. </w:t>
      </w:r>
    </w:p>
    <w:p w14:paraId="6225C551" w14:textId="77777777" w:rsidR="00CC4CE9" w:rsidRPr="005D0846" w:rsidRDefault="00CC4CE9" w:rsidP="008D4334">
      <w:pPr>
        <w:pStyle w:val="Heading2"/>
        <w:spacing w:line="240" w:lineRule="auto"/>
        <w:rPr>
          <w:rFonts w:ascii="Arial" w:hAnsi="Arial" w:cs="Arial"/>
          <w:color w:val="0432FF"/>
          <w:sz w:val="16"/>
          <w:szCs w:val="16"/>
        </w:rPr>
      </w:pPr>
      <w:proofErr w:type="spellStart"/>
      <w:r w:rsidRPr="005D0846">
        <w:rPr>
          <w:rFonts w:ascii="Arial" w:hAnsi="Arial" w:cs="Arial"/>
          <w:color w:val="0432FF"/>
          <w:sz w:val="16"/>
          <w:szCs w:val="16"/>
        </w:rPr>
        <w:t>Mangada</w:t>
      </w:r>
      <w:proofErr w:type="spellEnd"/>
      <w:r w:rsidRPr="005D0846">
        <w:rPr>
          <w:rFonts w:ascii="Arial" w:hAnsi="Arial" w:cs="Arial"/>
          <w:color w:val="0432FF"/>
          <w:sz w:val="16"/>
          <w:szCs w:val="16"/>
        </w:rPr>
        <w:t xml:space="preserve"> and </w:t>
      </w:r>
      <w:proofErr w:type="spellStart"/>
      <w:r w:rsidRPr="005D0846">
        <w:rPr>
          <w:rFonts w:ascii="Arial" w:hAnsi="Arial" w:cs="Arial"/>
          <w:color w:val="0432FF"/>
          <w:sz w:val="16"/>
          <w:szCs w:val="16"/>
        </w:rPr>
        <w:t>Cuaton</w:t>
      </w:r>
      <w:proofErr w:type="spellEnd"/>
      <w:r w:rsidRPr="005D0846">
        <w:rPr>
          <w:rFonts w:ascii="Arial" w:hAnsi="Arial" w:cs="Arial"/>
          <w:color w:val="0432FF"/>
          <w:sz w:val="16"/>
          <w:szCs w:val="16"/>
        </w:rPr>
        <w:t xml:space="preserve"> - Typhoon Haiyan Survivors at the Resettlement Sites</w:t>
      </w:r>
    </w:p>
    <w:p w14:paraId="5E0FA27E" w14:textId="77777777" w:rsidR="00CC4CE9" w:rsidRPr="005D0846" w:rsidRDefault="00CC4CE9" w:rsidP="008D4334">
      <w:pPr>
        <w:spacing w:line="240" w:lineRule="auto"/>
        <w:rPr>
          <w:rFonts w:ascii="Arial" w:hAnsi="Arial" w:cs="Arial"/>
          <w:sz w:val="16"/>
          <w:szCs w:val="16"/>
        </w:rPr>
      </w:pPr>
      <w:proofErr w:type="spellStart"/>
      <w:r w:rsidRPr="005D0846">
        <w:rPr>
          <w:rFonts w:ascii="Arial" w:hAnsi="Arial" w:cs="Arial"/>
          <w:sz w:val="16"/>
          <w:szCs w:val="16"/>
        </w:rPr>
        <w:t>Mangada</w:t>
      </w:r>
      <w:proofErr w:type="spellEnd"/>
      <w:r w:rsidRPr="005D0846">
        <w:rPr>
          <w:rFonts w:ascii="Arial" w:hAnsi="Arial" w:cs="Arial"/>
          <w:sz w:val="16"/>
          <w:szCs w:val="16"/>
        </w:rPr>
        <w:t xml:space="preserve"> and </w:t>
      </w:r>
      <w:proofErr w:type="spellStart"/>
      <w:r w:rsidRPr="005D0846">
        <w:rPr>
          <w:rFonts w:ascii="Arial" w:hAnsi="Arial" w:cs="Arial"/>
          <w:sz w:val="16"/>
          <w:szCs w:val="16"/>
        </w:rPr>
        <w:t>Cuaton</w:t>
      </w:r>
      <w:proofErr w:type="spellEnd"/>
      <w:r w:rsidRPr="005D0846">
        <w:rPr>
          <w:rFonts w:ascii="Arial" w:hAnsi="Arial" w:cs="Arial"/>
          <w:sz w:val="16"/>
          <w:szCs w:val="16"/>
        </w:rPr>
        <w:t xml:space="preserve"> (2022) examine the realities and challenges faced by Typhoon Haiyan survivors in resettlement sites during the COVID-19 pandemic. The study highlights how post-disaster relocation intersects with livelihoods, basic services, and later shocks. It is relevant to long-term recovery because it shows that resettlement outcomes evolve after construction and remain sensitive to subsequent crises.</w:t>
      </w:r>
    </w:p>
    <w:p w14:paraId="18D9B576" w14:textId="77777777" w:rsidR="00CC4CE9" w:rsidRPr="005D0846" w:rsidRDefault="00CC4CE9" w:rsidP="008D4334">
      <w:pPr>
        <w:pStyle w:val="Citationparagraph"/>
        <w:spacing w:line="240" w:lineRule="auto"/>
        <w:rPr>
          <w:rFonts w:ascii="Arial" w:hAnsi="Arial" w:cs="Arial"/>
          <w:sz w:val="16"/>
          <w:szCs w:val="16"/>
        </w:rPr>
      </w:pPr>
      <w:proofErr w:type="spellStart"/>
      <w:r w:rsidRPr="005D0846">
        <w:rPr>
          <w:rFonts w:ascii="Arial" w:hAnsi="Arial" w:cs="Arial"/>
          <w:sz w:val="16"/>
          <w:szCs w:val="16"/>
        </w:rPr>
        <w:t>Mangada</w:t>
      </w:r>
      <w:proofErr w:type="spellEnd"/>
      <w:r w:rsidRPr="005D0846">
        <w:rPr>
          <w:rFonts w:ascii="Arial" w:hAnsi="Arial" w:cs="Arial"/>
          <w:sz w:val="16"/>
          <w:szCs w:val="16"/>
        </w:rPr>
        <w:t xml:space="preserve">, L. L., &amp; </w:t>
      </w:r>
      <w:proofErr w:type="spellStart"/>
      <w:r w:rsidRPr="005D0846">
        <w:rPr>
          <w:rFonts w:ascii="Arial" w:hAnsi="Arial" w:cs="Arial"/>
          <w:sz w:val="16"/>
          <w:szCs w:val="16"/>
        </w:rPr>
        <w:t>Cuaton</w:t>
      </w:r>
      <w:proofErr w:type="spellEnd"/>
      <w:r w:rsidRPr="005D0846">
        <w:rPr>
          <w:rFonts w:ascii="Arial" w:hAnsi="Arial" w:cs="Arial"/>
          <w:sz w:val="16"/>
          <w:szCs w:val="16"/>
        </w:rPr>
        <w:t>, G. P. (2022). Typhoon Haiyan survivors at the resettlement sites: COVID-19 pandemic realities and challenges. Dialogues in Health, 1, 100005. https://doi.org/10.1016/j.dialog.2022.100005</w:t>
      </w:r>
    </w:p>
    <w:p w14:paraId="731322BE"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Eadie - Typhoon Yolanda and Post-Disaster Resilience: Problems and Challenges</w:t>
      </w:r>
    </w:p>
    <w:p w14:paraId="4028B9AD"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Eadie (2019) examines problems and challenges in post-disaster resilience after Typhoon Yolanda. The paper critiques resilience narratives and discusses the complexities of recovery, governance, and reconstruction in the Philippine context. It provides social-science grounding for treating resilience as more than rapid physical rebuilding or visible settlement activity.</w:t>
      </w:r>
    </w:p>
    <w:p w14:paraId="7567F5D7" w14:textId="165D012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 xml:space="preserve">Eadie, P. (2019). Typhoon Yolanda and post-disaster resilience: Problems and challenges. Asia Pacific Viewpoint, 60(1), 94-107. </w:t>
      </w:r>
    </w:p>
    <w:p w14:paraId="304F2AB3"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Yee - Constructing Reconstruction, Territorializing Risk</w:t>
      </w:r>
    </w:p>
    <w:p w14:paraId="6825D696"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Yee (2018) examines post-disaster reconstruction in Tacloban City, focusing on the territorialization of risk through no-build zones after Typhoon Yolanda. The study shows how reconstruction policies define safe and unsafe spaces and how these designations affect relocation, governance, and community recovery. It contributes to the literature on recovery as a political and spatial process.</w:t>
      </w:r>
    </w:p>
    <w:p w14:paraId="0EA6363A"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Yee, D. K. P. (2018). Constructing reconstruction, territorializing risk: Imposing “no-build zones” in post-disaster reconstruction in Tacloban City, Philippines. Critical Asian Studies, 50(1), 103-121. https://doi.org/10.1080/14672715.2017.1401938</w:t>
      </w:r>
    </w:p>
    <w:p w14:paraId="197AFA9B"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Palagi and Javernick-Will - Community Outcomes Summary of Tacloban City Relocation Sites</w:t>
      </w:r>
    </w:p>
    <w:p w14:paraId="1DECD43E"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Palagi and Javernick-Will (2018) report survey results on community outcomes across relocation sites in Tacloban City. The report documents resident experiences, site conditions, and post-relocation outcomes. It provides ground-level evidence for interpreting long-term resettlement progress and for comparing remote-sensing indicators with household or community survey findings.</w:t>
      </w:r>
    </w:p>
    <w:p w14:paraId="21971063"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 xml:space="preserve">Palagi, S., &amp; Javernick-Will, A. (2018). Community outcomes summary of survey: Thirteen Tacloban City relocation sites. University of Colorado Boulder. </w:t>
      </w:r>
    </w:p>
    <w:p w14:paraId="3B5C72D8"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Carrasco et al. - Influence of Housing Designs on Resident-Initiated Housing Modifications in Cagayan de Oro Resettlement Sites</w:t>
      </w:r>
    </w:p>
    <w:p w14:paraId="64AE89E1"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Carrasco et al. (2016) examine how housing design influences resident-initiated modifications in resettlement sites in Cagayan de Oro, Philippines. The study analyzes post-disaster housing adaptation after relocation and shows that residents modify formal housing to meet livelihood, social, and household needs. It contributes to understanding resettlement as an evolving built and social process.</w:t>
      </w:r>
    </w:p>
    <w:p w14:paraId="16EC6C89" w14:textId="0901E80C"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lastRenderedPageBreak/>
        <w:t xml:space="preserve">Carrasco, S., Ochiai, C., &amp; Okazaki, K. (2016). Influence of housing designs on resident-initiated housing modifications in resettlement sites in Cagayan de Oro, Philippines. Journal of Social Safety Science, 28, 1-10. </w:t>
      </w:r>
    </w:p>
    <w:p w14:paraId="070C778C"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Cutter et al. - A Place-Based Model for Understanding Community Resilience to Natural Disasters</w:t>
      </w:r>
    </w:p>
    <w:p w14:paraId="0452FD0C"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Cutter et al. (2008) propose a place-based model for understanding community resilience to natural disasters. The paper organizes resilience around social, economic, institutional, infrastructure, community, and environmental dimensions. It is a foundational framework for linking disaster recovery indicators with broader capacities that influence how communities prepare for, absorb, and recover from hazardous events.</w:t>
      </w:r>
    </w:p>
    <w:p w14:paraId="7EC257E6"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Cutter, S. L., Barnes, L., Berry, M., Burton, C., Evans, E., Tate, E., &amp; Webb, J. (2008). A place-based model for understanding community resilience to natural disasters. Global Environmental Change, 18(4), 598-606. https://doi.org/10.1016/j.gloenvcha.2008.07.013</w:t>
      </w:r>
    </w:p>
    <w:p w14:paraId="00B308A5" w14:textId="77777777" w:rsidR="00CC4CE9" w:rsidRPr="005D0846" w:rsidRDefault="00CC4CE9" w:rsidP="008D4334">
      <w:pPr>
        <w:pStyle w:val="Heading2"/>
        <w:spacing w:line="240" w:lineRule="auto"/>
        <w:rPr>
          <w:rFonts w:ascii="Arial" w:hAnsi="Arial" w:cs="Arial"/>
          <w:color w:val="0432FF"/>
          <w:sz w:val="16"/>
          <w:szCs w:val="16"/>
        </w:rPr>
      </w:pPr>
      <w:r w:rsidRPr="005D0846">
        <w:rPr>
          <w:rFonts w:ascii="Arial" w:hAnsi="Arial" w:cs="Arial"/>
          <w:color w:val="0432FF"/>
          <w:sz w:val="16"/>
          <w:szCs w:val="16"/>
        </w:rPr>
        <w:t>Bruneau et al. - A Framework to Quantitatively Assess and Enhance the Seismic Resilience of Communities</w:t>
      </w:r>
    </w:p>
    <w:p w14:paraId="6F5F5F9B" w14:textId="77777777" w:rsidR="00CC4CE9" w:rsidRPr="005D0846" w:rsidRDefault="00CC4CE9" w:rsidP="008D4334">
      <w:pPr>
        <w:spacing w:line="240" w:lineRule="auto"/>
        <w:rPr>
          <w:rFonts w:ascii="Arial" w:hAnsi="Arial" w:cs="Arial"/>
          <w:sz w:val="16"/>
          <w:szCs w:val="16"/>
        </w:rPr>
      </w:pPr>
      <w:r w:rsidRPr="005D0846">
        <w:rPr>
          <w:rFonts w:ascii="Arial" w:hAnsi="Arial" w:cs="Arial"/>
          <w:sz w:val="16"/>
          <w:szCs w:val="16"/>
        </w:rPr>
        <w:t>Bruneau et al. (2003) present a framework for assessing and enhancing community seismic resilience. The paper defines resilience through dimensions such as robustness, redundancy, resourcefulness, and rapidity, and links resilience to infrastructure performance over time. Although focused on seismic hazards, it is influential in recovery studies that quantify disruption duration and functionality loss.</w:t>
      </w:r>
    </w:p>
    <w:p w14:paraId="38E3A9F5" w14:textId="77777777" w:rsidR="00CC4CE9" w:rsidRPr="005D0846" w:rsidRDefault="00CC4CE9" w:rsidP="008D4334">
      <w:pPr>
        <w:pStyle w:val="Citationparagraph"/>
        <w:spacing w:line="240" w:lineRule="auto"/>
        <w:rPr>
          <w:rFonts w:ascii="Arial" w:hAnsi="Arial" w:cs="Arial"/>
          <w:sz w:val="16"/>
          <w:szCs w:val="16"/>
        </w:rPr>
      </w:pPr>
      <w:r w:rsidRPr="005D0846">
        <w:rPr>
          <w:rFonts w:ascii="Arial" w:hAnsi="Arial" w:cs="Arial"/>
          <w:sz w:val="16"/>
          <w:szCs w:val="16"/>
        </w:rPr>
        <w:t xml:space="preserve">Bruneau, M., Chang, S. E., Eguchi, R. T., Lee, G. C., O’Rourke, T. D., </w:t>
      </w:r>
      <w:proofErr w:type="spellStart"/>
      <w:r w:rsidRPr="005D0846">
        <w:rPr>
          <w:rFonts w:ascii="Arial" w:hAnsi="Arial" w:cs="Arial"/>
          <w:sz w:val="16"/>
          <w:szCs w:val="16"/>
        </w:rPr>
        <w:t>Reinhorn</w:t>
      </w:r>
      <w:proofErr w:type="spellEnd"/>
      <w:r w:rsidRPr="005D0846">
        <w:rPr>
          <w:rFonts w:ascii="Arial" w:hAnsi="Arial" w:cs="Arial"/>
          <w:sz w:val="16"/>
          <w:szCs w:val="16"/>
        </w:rPr>
        <w:t>, A. M., Shinozuka, M., Tierney, K., Wallace, W. A., &amp; von Winterfeldt, D. (2003). A framework to quantitatively assess and enhance the seismic resilience of communities. Earthquake Spectra, 19(4), 733-752. https://doi.org/10.1193/1.1623497</w:t>
      </w:r>
    </w:p>
    <w:p w14:paraId="10FBE98F" w14:textId="77777777" w:rsidR="00CC4CE9" w:rsidRPr="005D0846" w:rsidRDefault="00CC4CE9" w:rsidP="008D4334">
      <w:pPr>
        <w:pStyle w:val="Heading2"/>
        <w:spacing w:line="240" w:lineRule="auto"/>
        <w:rPr>
          <w:rFonts w:ascii="Arial" w:hAnsi="Arial" w:cs="Arial"/>
          <w:color w:val="0432FF"/>
          <w:sz w:val="16"/>
          <w:szCs w:val="16"/>
        </w:rPr>
      </w:pPr>
      <w:proofErr w:type="spellStart"/>
      <w:r w:rsidRPr="005D0846">
        <w:rPr>
          <w:rFonts w:ascii="Arial" w:hAnsi="Arial" w:cs="Arial"/>
          <w:color w:val="0432FF"/>
          <w:sz w:val="16"/>
          <w:szCs w:val="16"/>
        </w:rPr>
        <w:t>Hallegatte</w:t>
      </w:r>
      <w:proofErr w:type="spellEnd"/>
      <w:r w:rsidRPr="005D0846">
        <w:rPr>
          <w:rFonts w:ascii="Arial" w:hAnsi="Arial" w:cs="Arial"/>
          <w:color w:val="0432FF"/>
          <w:sz w:val="16"/>
          <w:szCs w:val="16"/>
        </w:rPr>
        <w:t xml:space="preserve"> et al. - Unbreakable: Building the Resilience of the Poor in the Face of Natural Disasters</w:t>
      </w:r>
    </w:p>
    <w:p w14:paraId="2B3BC65A" w14:textId="77777777" w:rsidR="00CC4CE9" w:rsidRPr="005D0846" w:rsidRDefault="00CC4CE9" w:rsidP="008D4334">
      <w:pPr>
        <w:spacing w:line="240" w:lineRule="auto"/>
        <w:rPr>
          <w:rFonts w:ascii="Arial" w:hAnsi="Arial" w:cs="Arial"/>
          <w:sz w:val="16"/>
          <w:szCs w:val="16"/>
        </w:rPr>
      </w:pPr>
      <w:proofErr w:type="spellStart"/>
      <w:r w:rsidRPr="005D0846">
        <w:rPr>
          <w:rFonts w:ascii="Arial" w:hAnsi="Arial" w:cs="Arial"/>
          <w:sz w:val="16"/>
          <w:szCs w:val="16"/>
        </w:rPr>
        <w:t>Hallegatte</w:t>
      </w:r>
      <w:proofErr w:type="spellEnd"/>
      <w:r w:rsidRPr="005D0846">
        <w:rPr>
          <w:rFonts w:ascii="Arial" w:hAnsi="Arial" w:cs="Arial"/>
          <w:sz w:val="16"/>
          <w:szCs w:val="16"/>
        </w:rPr>
        <w:t xml:space="preserve"> et al. (2016) examine how natural disasters affect poverty and welfare, emphasizing that asset losses alone underestimate disaster consequences for poor households. The report introduces risk-to-welfare thinking, showing that recovery capacity, income, savings, insurance, and social protection influence long-term welfare effects. It is a key source for linking disaster impact to socioeconomic vulnerability.</w:t>
      </w:r>
    </w:p>
    <w:p w14:paraId="2F353566" w14:textId="77777777" w:rsidR="00CC4CE9" w:rsidRPr="005D0846" w:rsidRDefault="00CC4CE9" w:rsidP="008D4334">
      <w:pPr>
        <w:pStyle w:val="Citationparagraph"/>
        <w:spacing w:line="240" w:lineRule="auto"/>
        <w:rPr>
          <w:rFonts w:ascii="Arial" w:hAnsi="Arial" w:cs="Arial"/>
          <w:sz w:val="16"/>
          <w:szCs w:val="16"/>
        </w:rPr>
      </w:pPr>
      <w:proofErr w:type="spellStart"/>
      <w:r w:rsidRPr="005D0846">
        <w:rPr>
          <w:rFonts w:ascii="Arial" w:hAnsi="Arial" w:cs="Arial"/>
          <w:sz w:val="16"/>
          <w:szCs w:val="16"/>
        </w:rPr>
        <w:t>Hallegatte</w:t>
      </w:r>
      <w:proofErr w:type="spellEnd"/>
      <w:r w:rsidRPr="005D0846">
        <w:rPr>
          <w:rFonts w:ascii="Arial" w:hAnsi="Arial" w:cs="Arial"/>
          <w:sz w:val="16"/>
          <w:szCs w:val="16"/>
        </w:rPr>
        <w:t xml:space="preserve">, S., Bangalore, M., </w:t>
      </w:r>
      <w:proofErr w:type="spellStart"/>
      <w:r w:rsidRPr="005D0846">
        <w:rPr>
          <w:rFonts w:ascii="Arial" w:hAnsi="Arial" w:cs="Arial"/>
          <w:sz w:val="16"/>
          <w:szCs w:val="16"/>
        </w:rPr>
        <w:t>Bonzanigo</w:t>
      </w:r>
      <w:proofErr w:type="spellEnd"/>
      <w:r w:rsidRPr="005D0846">
        <w:rPr>
          <w:rFonts w:ascii="Arial" w:hAnsi="Arial" w:cs="Arial"/>
          <w:sz w:val="16"/>
          <w:szCs w:val="16"/>
        </w:rPr>
        <w:t xml:space="preserve">, L., Fay, M., Kane, T., Narloch, U., Rozenberg, J., </w:t>
      </w:r>
      <w:proofErr w:type="spellStart"/>
      <w:r w:rsidRPr="005D0846">
        <w:rPr>
          <w:rFonts w:ascii="Arial" w:hAnsi="Arial" w:cs="Arial"/>
          <w:sz w:val="16"/>
          <w:szCs w:val="16"/>
        </w:rPr>
        <w:t>Treguer</w:t>
      </w:r>
      <w:proofErr w:type="spellEnd"/>
      <w:r w:rsidRPr="005D0846">
        <w:rPr>
          <w:rFonts w:ascii="Arial" w:hAnsi="Arial" w:cs="Arial"/>
          <w:sz w:val="16"/>
          <w:szCs w:val="16"/>
        </w:rPr>
        <w:t>, D., &amp; Vogt-Schilb, A. (2016). Unbreakable: Building the resilience of the poor in the face of natural disasters. World Bank. https://doi.org/10.1596/978-1-4648-1003-9</w:t>
      </w:r>
    </w:p>
    <w:p w14:paraId="274E6791" w14:textId="77777777" w:rsidR="00CC4CE9" w:rsidRPr="005D0846" w:rsidRDefault="00CC4CE9" w:rsidP="008D4334">
      <w:pPr>
        <w:spacing w:line="240" w:lineRule="auto"/>
        <w:rPr>
          <w:rFonts w:ascii="Arial" w:hAnsi="Arial" w:cs="Arial"/>
          <w:color w:val="C00000"/>
          <w:sz w:val="16"/>
          <w:szCs w:val="16"/>
        </w:rPr>
      </w:pPr>
    </w:p>
    <w:p w14:paraId="7A335FCC" w14:textId="77777777" w:rsidR="00CC4CE9" w:rsidRDefault="00CC4CE9" w:rsidP="008D4334">
      <w:pPr>
        <w:pStyle w:val="Heading1"/>
        <w:spacing w:line="240" w:lineRule="auto"/>
        <w:rPr>
          <w:rFonts w:ascii="Arial" w:hAnsi="Arial" w:cs="Arial"/>
        </w:rPr>
      </w:pPr>
    </w:p>
    <w:p w14:paraId="3F5BB4A3" w14:textId="77777777" w:rsidR="00CC4CE9" w:rsidRPr="00CC4CE9" w:rsidRDefault="00CC4CE9" w:rsidP="008D4334">
      <w:pPr>
        <w:spacing w:line="240" w:lineRule="auto"/>
      </w:pPr>
    </w:p>
    <w:p w14:paraId="78F12B3E" w14:textId="1428BEFB" w:rsidR="00985108" w:rsidRDefault="00CA68C3" w:rsidP="008D4334">
      <w:pPr>
        <w:pStyle w:val="Heading1"/>
        <w:spacing w:line="240" w:lineRule="auto"/>
        <w:rPr>
          <w:rFonts w:ascii="Arial" w:hAnsi="Arial" w:cs="Arial"/>
        </w:rPr>
      </w:pPr>
      <w:r>
        <w:rPr>
          <w:rFonts w:ascii="Arial" w:hAnsi="Arial" w:cs="Arial"/>
        </w:rPr>
        <w:t>References:</w:t>
      </w:r>
    </w:p>
    <w:p w14:paraId="381A58D3" w14:textId="77777777" w:rsidR="00CA68C3" w:rsidRPr="00CA68C3" w:rsidRDefault="00CA68C3" w:rsidP="008D4334">
      <w:pPr>
        <w:spacing w:line="240" w:lineRule="auto"/>
      </w:pPr>
    </w:p>
    <w:p w14:paraId="039AE20C" w14:textId="7294A723" w:rsidR="00EC0EEF" w:rsidRDefault="00EC0EEF" w:rsidP="008D4334">
      <w:pPr>
        <w:pStyle w:val="Citationparagraph"/>
        <w:numPr>
          <w:ilvl w:val="0"/>
          <w:numId w:val="2"/>
        </w:numPr>
        <w:spacing w:line="240" w:lineRule="auto"/>
      </w:pPr>
      <w:proofErr w:type="spellStart"/>
      <w:r>
        <w:t>Ghaffarian</w:t>
      </w:r>
      <w:proofErr w:type="spellEnd"/>
      <w:r>
        <w:t xml:space="preserve">, S. (2020). Post-disaster recovery assessment using remote sensing-based proxies (Doctoral dissertation, University of Twente). </w:t>
      </w:r>
    </w:p>
    <w:p w14:paraId="67DEA29A" w14:textId="77777777" w:rsidR="00EC0EEF" w:rsidRDefault="00EC0EEF" w:rsidP="008D4334">
      <w:pPr>
        <w:pStyle w:val="Citationparagraph"/>
        <w:numPr>
          <w:ilvl w:val="0"/>
          <w:numId w:val="2"/>
        </w:numPr>
        <w:spacing w:line="240" w:lineRule="auto"/>
      </w:pPr>
      <w:proofErr w:type="spellStart"/>
      <w:r>
        <w:t>Ghaffarian</w:t>
      </w:r>
      <w:proofErr w:type="spellEnd"/>
      <w:r>
        <w:t>, S., Kerle, N., &amp; Filatova, T. (2018). Remote sensing-based proxies for urban disaster risk management and resilience: A review. Remote Sensing, 10(11), 1760. https://doi.org/10.3390/rs10111760</w:t>
      </w:r>
    </w:p>
    <w:p w14:paraId="6310C948" w14:textId="77777777" w:rsidR="00EC0EEF" w:rsidRDefault="00EC0EEF" w:rsidP="008D4334">
      <w:pPr>
        <w:pStyle w:val="Citationparagraph"/>
        <w:numPr>
          <w:ilvl w:val="0"/>
          <w:numId w:val="2"/>
        </w:numPr>
        <w:spacing w:line="240" w:lineRule="auto"/>
      </w:pPr>
      <w:proofErr w:type="spellStart"/>
      <w:r>
        <w:t>Sheykhmousa</w:t>
      </w:r>
      <w:proofErr w:type="spellEnd"/>
      <w:r>
        <w:t xml:space="preserve">, M., Kerle, N., Kuffer, M., &amp; </w:t>
      </w:r>
      <w:proofErr w:type="spellStart"/>
      <w:r>
        <w:t>Ghaffarian</w:t>
      </w:r>
      <w:proofErr w:type="spellEnd"/>
      <w:r>
        <w:t>, S. (2019). Post-disaster recovery assessment with machine learning-derived land cover and land use information. Remote Sensing, 11(10), 1174. https://doi.org/10.3390/rs11101174</w:t>
      </w:r>
    </w:p>
    <w:p w14:paraId="0ADED2C3" w14:textId="1B6F302E" w:rsidR="000C5501" w:rsidRDefault="000C5501" w:rsidP="008D4334">
      <w:pPr>
        <w:pStyle w:val="Citationparagraph"/>
        <w:numPr>
          <w:ilvl w:val="0"/>
          <w:numId w:val="2"/>
        </w:numPr>
        <w:tabs>
          <w:tab w:val="left" w:pos="5103"/>
        </w:tabs>
        <w:spacing w:line="240" w:lineRule="auto"/>
      </w:pPr>
      <w:r>
        <w:t xml:space="preserve">Principe, R. L., Jr. &amp; Soriano, M. N. (2022). </w:t>
      </w:r>
      <w:r w:rsidRPr="000563BD">
        <w:t xml:space="preserve">Revisiting the disaster impact and recovery in the aftermath of Typhoon Yolanda using Black Marble nighttime lights,” in Proceedings of the </w:t>
      </w:r>
      <w:proofErr w:type="spellStart"/>
      <w:r w:rsidRPr="000563BD">
        <w:t>Samahang</w:t>
      </w:r>
      <w:proofErr w:type="spellEnd"/>
      <w:r w:rsidRPr="000563BD">
        <w:t xml:space="preserve"> </w:t>
      </w:r>
      <w:proofErr w:type="spellStart"/>
      <w:r w:rsidRPr="000563BD">
        <w:t>Pisika</w:t>
      </w:r>
      <w:proofErr w:type="spellEnd"/>
      <w:r w:rsidRPr="000563BD">
        <w:t xml:space="preserve"> ng Pilipinas, vol. 40, 2022. https://proceedings.spp-online.org/article/view/SPP-2022-3C-04.</w:t>
      </w:r>
    </w:p>
    <w:p w14:paraId="1606B91C" w14:textId="52CFD9AE" w:rsidR="00EC0EEF" w:rsidRDefault="00EC0EEF" w:rsidP="008D4334">
      <w:pPr>
        <w:pStyle w:val="Citationparagraph"/>
        <w:numPr>
          <w:ilvl w:val="0"/>
          <w:numId w:val="2"/>
        </w:numPr>
        <w:tabs>
          <w:tab w:val="left" w:pos="5103"/>
        </w:tabs>
        <w:spacing w:line="240" w:lineRule="auto"/>
      </w:pPr>
      <w:r>
        <w:t>Principe, R. L., Jr. (2023). Lights on or lights off: Post-disaster insights from nighttime lights (</w:t>
      </w:r>
      <w:proofErr w:type="gramStart"/>
      <w:r>
        <w:t>Master’s</w:t>
      </w:r>
      <w:proofErr w:type="gramEnd"/>
      <w:r>
        <w:t xml:space="preserve"> thesis, University of the Philippines Diliman). </w:t>
      </w:r>
    </w:p>
    <w:p w14:paraId="3A376E95" w14:textId="71CABC5C" w:rsidR="00EC0EEF" w:rsidRDefault="00EC0EEF" w:rsidP="008D4334">
      <w:pPr>
        <w:pStyle w:val="Citationparagraph"/>
        <w:numPr>
          <w:ilvl w:val="0"/>
          <w:numId w:val="2"/>
        </w:numPr>
        <w:spacing w:line="240" w:lineRule="auto"/>
      </w:pPr>
      <w:r>
        <w:t>Principe, R. L., Jr., Reinke, K., &amp; Jones, S. (2026). Reliability conditions for interpreting daily NASA Black Marble nighttime lights in cloud-impacted tropical regions. Preprint submitted to Taylor &amp; Francis.</w:t>
      </w:r>
    </w:p>
    <w:p w14:paraId="7B9A1C2C" w14:textId="77777777" w:rsidR="00EC0EEF" w:rsidRDefault="00EC0EEF" w:rsidP="008D4334">
      <w:pPr>
        <w:pStyle w:val="Citationparagraph"/>
        <w:numPr>
          <w:ilvl w:val="0"/>
          <w:numId w:val="2"/>
        </w:numPr>
        <w:spacing w:line="240" w:lineRule="auto"/>
      </w:pPr>
      <w:r>
        <w:t xml:space="preserve">Elvidge, C. D., Baugh, K. E., Kihn, E. A., Kroehl, H. W., Davis, E. R., &amp; Davis, C. W. (1997). Mapping city lights with nighttime data from the DMSP Operational </w:t>
      </w:r>
      <w:proofErr w:type="spellStart"/>
      <w:r>
        <w:t>Linescan</w:t>
      </w:r>
      <w:proofErr w:type="spellEnd"/>
      <w:r>
        <w:t xml:space="preserve"> System. Photogrammetric Engineering &amp; Remote Sensing, 63(6), 727-734. DOI not assigned.</w:t>
      </w:r>
    </w:p>
    <w:p w14:paraId="6237C037" w14:textId="77777777" w:rsidR="00EC0EEF" w:rsidRDefault="00EC0EEF" w:rsidP="008D4334">
      <w:pPr>
        <w:pStyle w:val="Citationparagraph"/>
        <w:numPr>
          <w:ilvl w:val="0"/>
          <w:numId w:val="2"/>
        </w:numPr>
        <w:spacing w:line="240" w:lineRule="auto"/>
      </w:pPr>
      <w:r>
        <w:t xml:space="preserve">Elvidge, C. D., Baugh, K. E., Dietz, J. B., Bland, T., Sutton, P. C., &amp; </w:t>
      </w:r>
      <w:proofErr w:type="spellStart"/>
      <w:r>
        <w:t>Kroehl</w:t>
      </w:r>
      <w:proofErr w:type="spellEnd"/>
      <w:r>
        <w:t>, H. W. (1999). Radiance calibration of DMSP-OLS low-light imaging data of human settlements. Remote Sensing of Environment, 68(1), 77-88. https://doi.org/10.1016/S0034-4257(98)00098-7</w:t>
      </w:r>
    </w:p>
    <w:p w14:paraId="0FD5DDF8" w14:textId="77777777" w:rsidR="00EC0EEF" w:rsidRDefault="00EC0EEF" w:rsidP="008D4334">
      <w:pPr>
        <w:pStyle w:val="Citationparagraph"/>
        <w:numPr>
          <w:ilvl w:val="0"/>
          <w:numId w:val="2"/>
        </w:numPr>
        <w:spacing w:line="240" w:lineRule="auto"/>
      </w:pPr>
      <w:r>
        <w:lastRenderedPageBreak/>
        <w:t>Sullivan, W. T. (1989). A 10 km resolution image of the entire night-time Earth based on cloud-free satellite photographs in the 400-1100 nm band. International Journal of Remote Sensing, 10(1), 1-5. https://doi.org/10.1080/01431168908903835</w:t>
      </w:r>
    </w:p>
    <w:p w14:paraId="1AB11A5C" w14:textId="77777777" w:rsidR="00EC0EEF" w:rsidRDefault="00EC0EEF" w:rsidP="008D4334">
      <w:pPr>
        <w:pStyle w:val="Citationparagraph"/>
        <w:numPr>
          <w:ilvl w:val="0"/>
          <w:numId w:val="2"/>
        </w:numPr>
        <w:spacing w:line="240" w:lineRule="auto"/>
      </w:pPr>
      <w:r>
        <w:t>Small, C., Pozzi, F., &amp; Elvidge, C. D. (2005). Spatial analysis of global urban extent from DMSP-OLS night lights. Remote Sensing of Environment, 96(3-4), 277-291. https://doi.org/10.1016/j.rse.2005.02.002</w:t>
      </w:r>
    </w:p>
    <w:p w14:paraId="174CF5CB" w14:textId="77777777" w:rsidR="00EC0EEF" w:rsidRDefault="00EC0EEF" w:rsidP="008D4334">
      <w:pPr>
        <w:pStyle w:val="Citationparagraph"/>
        <w:numPr>
          <w:ilvl w:val="0"/>
          <w:numId w:val="2"/>
        </w:numPr>
        <w:spacing w:line="240" w:lineRule="auto"/>
      </w:pPr>
      <w:r>
        <w:t>Doll, C. N. H., Muller, J.-P., &amp; Morley, J. G. (2006). Mapping regional economic activity from night-time light satellite imagery. Ecological Economics, 57(1), 75-92. https://doi.org/10.1016/j.ecolecon.2005.03.007</w:t>
      </w:r>
    </w:p>
    <w:p w14:paraId="7E7E3353" w14:textId="77777777" w:rsidR="00EC0EEF" w:rsidRDefault="00EC0EEF" w:rsidP="008D4334">
      <w:pPr>
        <w:pStyle w:val="Citationparagraph"/>
        <w:numPr>
          <w:ilvl w:val="0"/>
          <w:numId w:val="2"/>
        </w:numPr>
        <w:spacing w:line="240" w:lineRule="auto"/>
      </w:pPr>
      <w:r>
        <w:t>Chen, X., &amp; Nordhaus, W. D. (2011). Using luminosity data as a proxy for economic statistics. Proceedings of the National Academy of Sciences, 108(21), 8589-8594. https://doi.org/10.1073/pnas.1017031108</w:t>
      </w:r>
    </w:p>
    <w:p w14:paraId="4A83FB67" w14:textId="77777777" w:rsidR="00EC0EEF" w:rsidRDefault="00EC0EEF" w:rsidP="008D4334">
      <w:pPr>
        <w:pStyle w:val="Citationparagraph"/>
        <w:numPr>
          <w:ilvl w:val="0"/>
          <w:numId w:val="2"/>
        </w:numPr>
        <w:spacing w:line="240" w:lineRule="auto"/>
      </w:pPr>
      <w:r>
        <w:t>Henderson, J. V., Storeygard, A., &amp; Weil, D. N. (2012). Measuring economic growth from outer space. American Economic Review, 102(2), 994-1028. https://doi.org/10.1257/aer.102.2.994</w:t>
      </w:r>
    </w:p>
    <w:p w14:paraId="445068D2" w14:textId="292FD4A6" w:rsidR="00EC0EEF" w:rsidRDefault="00EC0EEF" w:rsidP="008D4334">
      <w:pPr>
        <w:pStyle w:val="Citationparagraph"/>
        <w:numPr>
          <w:ilvl w:val="0"/>
          <w:numId w:val="2"/>
        </w:numPr>
        <w:spacing w:line="240" w:lineRule="auto"/>
      </w:pPr>
      <w:r>
        <w:t xml:space="preserve">Yu, B., Shi, K., Hu, Y., Huang, C., Chen, Z., &amp; Wu, J. (2015). Poverty evaluation using NPP-VIIRS nighttime light composite data at the county level in China. IEEE Journal of Selected Topics in Applied Earth Observations and Remote Sensing, 8(3), 1217-1229. </w:t>
      </w:r>
    </w:p>
    <w:p w14:paraId="5BD2284A" w14:textId="77777777" w:rsidR="00EC0EEF" w:rsidRDefault="00EC0EEF" w:rsidP="008D4334">
      <w:pPr>
        <w:pStyle w:val="Citationparagraph"/>
        <w:numPr>
          <w:ilvl w:val="0"/>
          <w:numId w:val="2"/>
        </w:numPr>
        <w:spacing w:line="240" w:lineRule="auto"/>
      </w:pPr>
      <w:r>
        <w:t>Jean, N., Burke, M., Xie, M., Davis, W. M., Lobell, D. B., &amp; Ermon, S. (2016). Combining satellite imagery and machine learning to predict poverty. Science, 353(6301), 790-794. https://doi.org/10.1126/science.aaf7894</w:t>
      </w:r>
    </w:p>
    <w:p w14:paraId="28607D38" w14:textId="77777777" w:rsidR="00EC0EEF" w:rsidRDefault="00EC0EEF" w:rsidP="008D4334">
      <w:pPr>
        <w:pStyle w:val="Citationparagraph"/>
        <w:numPr>
          <w:ilvl w:val="0"/>
          <w:numId w:val="2"/>
        </w:numPr>
        <w:spacing w:line="240" w:lineRule="auto"/>
      </w:pPr>
      <w:proofErr w:type="spellStart"/>
      <w:r>
        <w:t>Tingzon</w:t>
      </w:r>
      <w:proofErr w:type="spellEnd"/>
      <w:r>
        <w:t xml:space="preserve">, I., Orden, A., Go, K. T., Sy, S., </w:t>
      </w:r>
      <w:proofErr w:type="spellStart"/>
      <w:r>
        <w:t>Sekara</w:t>
      </w:r>
      <w:proofErr w:type="spellEnd"/>
      <w:r>
        <w:t xml:space="preserve">, V., Weber, I., </w:t>
      </w:r>
      <w:proofErr w:type="spellStart"/>
      <w:r>
        <w:t>Fatehkia</w:t>
      </w:r>
      <w:proofErr w:type="spellEnd"/>
      <w:r>
        <w:t>, M., García-Herranz, M., &amp; Kim, D. (2019). Mapping poverty in the Philippines using machine learning, satellite imagery, and crowd-sourced geospatial information. The International Archives of the Photogrammetry, Remote Sensing and Spatial Information Sciences, XLII-4/W19, 425-431. https://doi.org/10.5194/isprs-archives-XLII-4-W19-425-2019</w:t>
      </w:r>
    </w:p>
    <w:p w14:paraId="18B09B1F" w14:textId="77777777" w:rsidR="00EC0EEF" w:rsidRDefault="00EC0EEF" w:rsidP="008D4334">
      <w:pPr>
        <w:pStyle w:val="Citationparagraph"/>
        <w:numPr>
          <w:ilvl w:val="0"/>
          <w:numId w:val="2"/>
        </w:numPr>
        <w:spacing w:line="240" w:lineRule="auto"/>
      </w:pPr>
      <w:r>
        <w:t>Elliott, R. J. R., Strobl, E., &amp; Sun, P. (2015). The local impact of typhoons on economic activity in China: A view from outer space. Journal of Urban Economics, 88, 50-66. https://doi.org/10.1016/j.jue.2015.05.001</w:t>
      </w:r>
    </w:p>
    <w:p w14:paraId="4A3BBC91" w14:textId="77777777" w:rsidR="00EC0EEF" w:rsidRDefault="00EC0EEF" w:rsidP="008D4334">
      <w:pPr>
        <w:pStyle w:val="Citationparagraph"/>
        <w:numPr>
          <w:ilvl w:val="0"/>
          <w:numId w:val="2"/>
        </w:numPr>
        <w:spacing w:line="240" w:lineRule="auto"/>
      </w:pPr>
      <w:r>
        <w:t>Gillespie, T. W., Frankenberg, E., Chum, K. F., &amp; Thomas, D. (2014). Nighttime lights time series of tsunami damage, recovery, and economic metrics in Sumatra, Indonesia. Remote Sensing Letters, 5(3), 286-294. https://doi.org/10.1080/2150704X.2014.900205</w:t>
      </w:r>
    </w:p>
    <w:p w14:paraId="70BDEB60" w14:textId="77777777" w:rsidR="00EC0EEF" w:rsidRDefault="00EC0EEF" w:rsidP="008D4334">
      <w:pPr>
        <w:pStyle w:val="Citationparagraph"/>
        <w:numPr>
          <w:ilvl w:val="0"/>
          <w:numId w:val="2"/>
        </w:numPr>
        <w:spacing w:line="240" w:lineRule="auto"/>
      </w:pPr>
      <w:proofErr w:type="spellStart"/>
      <w:r>
        <w:t>Mård</w:t>
      </w:r>
      <w:proofErr w:type="spellEnd"/>
      <w:r>
        <w:t>, J., Di Baldassarre, G., &amp; Mazzoleni, M. (2018). Nightlight data reveal how flood protection shapes human proximity to rivers. Science Advances, 4(8), eaar5779. https://doi.org/10.1126/sciadv.aar5779</w:t>
      </w:r>
    </w:p>
    <w:p w14:paraId="40FBC6DF" w14:textId="77777777" w:rsidR="00EC0EEF" w:rsidRDefault="00EC0EEF" w:rsidP="008D4334">
      <w:pPr>
        <w:pStyle w:val="Citationparagraph"/>
        <w:numPr>
          <w:ilvl w:val="0"/>
          <w:numId w:val="2"/>
        </w:numPr>
        <w:spacing w:line="240" w:lineRule="auto"/>
      </w:pPr>
      <w:r>
        <w:t>Román, M. O., &amp; Stokes, E. C. (2015). Holidays in lights: Tracking cultural patterns in demand for energy services. Earth’s Future, 3(6), 182-205. https://doi.org/10.1002/2014EF000285</w:t>
      </w:r>
    </w:p>
    <w:p w14:paraId="160942BD" w14:textId="77777777" w:rsidR="00EC0EEF" w:rsidRDefault="00EC0EEF" w:rsidP="008D4334">
      <w:pPr>
        <w:pStyle w:val="Citationparagraph"/>
        <w:numPr>
          <w:ilvl w:val="0"/>
          <w:numId w:val="2"/>
        </w:numPr>
        <w:spacing w:line="240" w:lineRule="auto"/>
      </w:pPr>
      <w:r>
        <w:t>Zhou, Y., Smith, S. J., Elvidge, C. D., Zhao, K., Thomson, A., &amp; Imhoff, M. (2014). A cluster-based method to map urban area from DMSP/OLS nightlights. Remote Sensing of Environment, 147, 173-185. https://doi.org/10.1016/j.rse.2014.03.004</w:t>
      </w:r>
    </w:p>
    <w:p w14:paraId="7C520B72" w14:textId="77777777" w:rsidR="00EC0EEF" w:rsidRDefault="00EC0EEF" w:rsidP="008D4334">
      <w:pPr>
        <w:pStyle w:val="Citationparagraph"/>
        <w:numPr>
          <w:ilvl w:val="0"/>
          <w:numId w:val="2"/>
        </w:numPr>
        <w:spacing w:line="240" w:lineRule="auto"/>
      </w:pPr>
      <w:r>
        <w:t>Zhou, Y., Smith, S. J., Zhao, K., Imhoff, M., Thomson, A., Bond-Lamberty, B., Asrar, G. R., Zhang, X., He, C., &amp; Elvidge, C. D. (2015). A global map of urban extent from nightlights. Environmental Research Letters, 10(5), 054011. https://doi.org/10.1088/1748-9326/10/5/054011</w:t>
      </w:r>
    </w:p>
    <w:p w14:paraId="728E1CDB" w14:textId="77777777" w:rsidR="00EC0EEF" w:rsidRDefault="00EC0EEF" w:rsidP="008D4334">
      <w:pPr>
        <w:pStyle w:val="Citationparagraph"/>
        <w:numPr>
          <w:ilvl w:val="0"/>
          <w:numId w:val="2"/>
        </w:numPr>
        <w:spacing w:line="240" w:lineRule="auto"/>
      </w:pPr>
      <w:r>
        <w:t>Zhou, Y., Li, X., Asrar, G. R., Smith, S. J., &amp; Imhoff, M. (2018). A global record of annual urban dynamics (1992-2013) from nighttime lights. Remote Sensing of Environment, 219, 206-220. https://doi.org/10.1016/j.rse.2018.10.015</w:t>
      </w:r>
    </w:p>
    <w:p w14:paraId="50F5F4EB" w14:textId="2AFDB84D" w:rsidR="00EC0EEF" w:rsidRDefault="00EC0EEF" w:rsidP="008D4334">
      <w:pPr>
        <w:pStyle w:val="Citationparagraph"/>
        <w:numPr>
          <w:ilvl w:val="0"/>
          <w:numId w:val="2"/>
        </w:numPr>
        <w:spacing w:line="240" w:lineRule="auto"/>
      </w:pPr>
      <w:r>
        <w:t xml:space="preserve">Sharma, R. C., Tateishi, R., Hara, K., </w:t>
      </w:r>
      <w:proofErr w:type="spellStart"/>
      <w:r>
        <w:t>Gharechelou</w:t>
      </w:r>
      <w:proofErr w:type="spellEnd"/>
      <w:r>
        <w:t xml:space="preserve">, S., &amp; Iizuka, K. (2016). Global mapping of urban built-up areas of year 2014 by combining MODIS multispectral data with VIIRS nighttime light data. International Journal of Digital Earth, 9(10), 1004-1020. </w:t>
      </w:r>
    </w:p>
    <w:p w14:paraId="06C1C2DA" w14:textId="62942D33" w:rsidR="00EC0EEF" w:rsidRDefault="00EC0EEF" w:rsidP="008D4334">
      <w:pPr>
        <w:pStyle w:val="Citationparagraph"/>
        <w:numPr>
          <w:ilvl w:val="0"/>
          <w:numId w:val="2"/>
        </w:numPr>
        <w:spacing w:line="240" w:lineRule="auto"/>
      </w:pPr>
      <w:r>
        <w:t xml:space="preserve">He, C., Liu, Z., Gou, S., Zhang, Q., Zhang, J., &amp; Xu, L. (2019). Detecting global urban expansion over the last three decades using a fully convolutional network. Environmental Research Letters, 14(3), 034008. </w:t>
      </w:r>
    </w:p>
    <w:p w14:paraId="525CD2C0" w14:textId="77777777" w:rsidR="00EC0EEF" w:rsidRDefault="00EC0EEF" w:rsidP="008D4334">
      <w:pPr>
        <w:pStyle w:val="Citationparagraph"/>
        <w:numPr>
          <w:ilvl w:val="0"/>
          <w:numId w:val="2"/>
        </w:numPr>
        <w:spacing w:line="240" w:lineRule="auto"/>
      </w:pPr>
      <w:r>
        <w:t>Miller, S. D., Straka, W. C., Mills, S. P., Elvidge, C. D., Lee, T. F., Solbrig, J., Walther, A., Heidinger, A. K., &amp; Weiss, S. C. (2013). Illuminating the capabilities of the Suomi National Polar-Orbiting Partnership (NPP) Visible Infrared Imaging Radiometer Suite (VIIRS) Day/Night Band. Remote Sensing, 5(12), 6717-6766. https://doi.org/10.3390/rs5126717</w:t>
      </w:r>
    </w:p>
    <w:p w14:paraId="4E0DFA5F" w14:textId="77777777" w:rsidR="00EC0EEF" w:rsidRDefault="00EC0EEF" w:rsidP="008D4334">
      <w:pPr>
        <w:pStyle w:val="Citationparagraph"/>
        <w:numPr>
          <w:ilvl w:val="0"/>
          <w:numId w:val="2"/>
        </w:numPr>
        <w:spacing w:line="240" w:lineRule="auto"/>
      </w:pPr>
      <w:r>
        <w:t xml:space="preserve">Elvidge, C. D., Baugh, K., </w:t>
      </w:r>
      <w:proofErr w:type="spellStart"/>
      <w:r>
        <w:t>Zhizhin</w:t>
      </w:r>
      <w:proofErr w:type="spellEnd"/>
      <w:r>
        <w:t>, M., Hsu, F.-C., &amp; Ghosh, T. (2017). VIIRS night-time lights. International Journal of Remote Sensing, 38(21), 5860-5879. https://doi.org/10.1080/01431161.2017.1342050</w:t>
      </w:r>
    </w:p>
    <w:p w14:paraId="094AFA90" w14:textId="77777777" w:rsidR="00EC0EEF" w:rsidRDefault="00EC0EEF" w:rsidP="008D4334">
      <w:pPr>
        <w:pStyle w:val="Citationparagraph"/>
        <w:numPr>
          <w:ilvl w:val="0"/>
          <w:numId w:val="2"/>
        </w:numPr>
        <w:spacing w:line="240" w:lineRule="auto"/>
      </w:pPr>
      <w:r>
        <w:lastRenderedPageBreak/>
        <w:t xml:space="preserve">Kyba, C. C. M., </w:t>
      </w:r>
      <w:proofErr w:type="spellStart"/>
      <w:r>
        <w:t>Garz</w:t>
      </w:r>
      <w:proofErr w:type="spellEnd"/>
      <w:r>
        <w:t xml:space="preserve">, S., Kuechly, H. U., Sánchez de Miguel, A., Zamorano, J., Fischer, J., &amp; </w:t>
      </w:r>
      <w:proofErr w:type="spellStart"/>
      <w:r>
        <w:t>Hölker</w:t>
      </w:r>
      <w:proofErr w:type="spellEnd"/>
      <w:r>
        <w:t xml:space="preserve">, F. (2015). High-resolution imagery of Earth at night: </w:t>
      </w:r>
      <w:proofErr w:type="gramStart"/>
      <w:r>
        <w:t>New</w:t>
      </w:r>
      <w:proofErr w:type="gramEnd"/>
      <w:r>
        <w:t xml:space="preserve"> sources, opportunities and challenges. Remote Sensing, 7(1), 1-23. https://doi.org/10.3390/rs70100001</w:t>
      </w:r>
    </w:p>
    <w:p w14:paraId="1C7B16F2" w14:textId="77777777" w:rsidR="00EC0EEF" w:rsidRDefault="00EC0EEF" w:rsidP="008D4334">
      <w:pPr>
        <w:pStyle w:val="Citationparagraph"/>
        <w:numPr>
          <w:ilvl w:val="0"/>
          <w:numId w:val="2"/>
        </w:numPr>
        <w:spacing w:line="240" w:lineRule="auto"/>
      </w:pPr>
      <w:r>
        <w:t xml:space="preserve">Román, M. O., Wang, Z., Sun, Q., Kalb, V., Miller, S. D., Molthan, A., Schultz, L., Bell, J., Stokes, E. C., Pandey, B., Seto, K. C., Hall, D., Oda, T., Wolfe, R. E., Lin, G., </w:t>
      </w:r>
      <w:proofErr w:type="spellStart"/>
      <w:r>
        <w:t>Golpayegani</w:t>
      </w:r>
      <w:proofErr w:type="spellEnd"/>
      <w:r>
        <w:t xml:space="preserve">, N., Devadiga, S., Davidson, C., Sarkar, S., </w:t>
      </w:r>
      <w:proofErr w:type="spellStart"/>
      <w:r>
        <w:t>Praderas</w:t>
      </w:r>
      <w:proofErr w:type="spellEnd"/>
      <w:r>
        <w:t xml:space="preserve">, C., Schmaltz, J., Boller, R., Stevens, J., Ramos González, O. M., Padilla, E., Alonso, J., </w:t>
      </w:r>
      <w:proofErr w:type="spellStart"/>
      <w:r>
        <w:t>Detrés</w:t>
      </w:r>
      <w:proofErr w:type="spellEnd"/>
      <w:r>
        <w:t>, Y., Armstrong, R., Miranda, I., Conte, Y., Marrero, N., MacManus, K., Esch, T., &amp; Masuoka, E. J. (2018). NASA’s Black Marble nighttime lights product suite. Remote Sensing of Environment, 210, 113-143. https://doi.org/10.1016/j.rse.2018.03.017</w:t>
      </w:r>
    </w:p>
    <w:p w14:paraId="392BF0F8" w14:textId="77777777" w:rsidR="00EC0EEF" w:rsidRDefault="00EC0EEF" w:rsidP="008D4334">
      <w:pPr>
        <w:pStyle w:val="Citationparagraph"/>
        <w:numPr>
          <w:ilvl w:val="0"/>
          <w:numId w:val="2"/>
        </w:numPr>
        <w:spacing w:line="240" w:lineRule="auto"/>
      </w:pPr>
      <w:r>
        <w:t>Wang, Z., Román, M. O., Sun, Q., Molthan, A. L., Schultz, L. A., &amp; Kalb, V. L. (2018). Monitoring disaster-related power outages using NASA Black Marble nighttime light product. The International Archives of the Photogrammetry, Remote Sensing and Spatial Information Sciences, XLII-3, 1853-1856. https://doi.org/10.5194/isprs-archives-XLII-3-1853-2018</w:t>
      </w:r>
    </w:p>
    <w:p w14:paraId="65C836A1" w14:textId="77777777" w:rsidR="00EC0EEF" w:rsidRDefault="00EC0EEF" w:rsidP="008D4334">
      <w:pPr>
        <w:pStyle w:val="Citationparagraph"/>
        <w:numPr>
          <w:ilvl w:val="0"/>
          <w:numId w:val="2"/>
        </w:numPr>
        <w:spacing w:line="240" w:lineRule="auto"/>
      </w:pPr>
      <w:r>
        <w:t xml:space="preserve">Román, M. O., Stokes, E. C., Shrestha, R. M., Wang, Z., Schultz, L., Sepúlveda Carlo, E. A., Sun, Q., Bell, J., Molthan, A., Kalb, V., Ji, C., Seto, K. C., McClain, S. N., &amp; </w:t>
      </w:r>
      <w:proofErr w:type="spellStart"/>
      <w:r>
        <w:t>Enenkel</w:t>
      </w:r>
      <w:proofErr w:type="spellEnd"/>
      <w:r>
        <w:t>, M. (2019). Satellite-based assessment of electricity restoration efforts in Puerto Rico after Hurricane Maria. PLOS ONE, 14(6), e0218883. https://doi.org/10.1371/journal.pone.0218883</w:t>
      </w:r>
    </w:p>
    <w:p w14:paraId="4CE4A4D7" w14:textId="77777777" w:rsidR="00EC0EEF" w:rsidRDefault="00EC0EEF" w:rsidP="008D4334">
      <w:pPr>
        <w:pStyle w:val="Citationparagraph"/>
        <w:numPr>
          <w:ilvl w:val="0"/>
          <w:numId w:val="2"/>
        </w:numPr>
        <w:spacing w:line="240" w:lineRule="auto"/>
      </w:pPr>
      <w:r>
        <w:t xml:space="preserve">Shermeyer, J. (2018). Assessment of electrical and infrastructure recovery in Puerto Rico following Hurricane Maria using a multisource time series of satellite imagery. </w:t>
      </w:r>
      <w:proofErr w:type="spellStart"/>
      <w:r>
        <w:t>arXiv</w:t>
      </w:r>
      <w:proofErr w:type="spellEnd"/>
      <w:r>
        <w:t>. https://doi.org/10.48550/arXiv.1807.05854</w:t>
      </w:r>
    </w:p>
    <w:p w14:paraId="7A94AA96" w14:textId="77777777" w:rsidR="00EC0EEF" w:rsidRDefault="00EC0EEF" w:rsidP="008D4334">
      <w:pPr>
        <w:pStyle w:val="Citationparagraph"/>
        <w:numPr>
          <w:ilvl w:val="0"/>
          <w:numId w:val="2"/>
        </w:numPr>
        <w:spacing w:line="240" w:lineRule="auto"/>
      </w:pPr>
      <w:r>
        <w:t>Zhao, X., Yu, B., Liu, Y., Yao, S., Lian, T., Chen, L., Yang, C., Chen, Z., &amp; Wu, J. (2018). NPP-VIIRS DNB daily data in natural disaster assessment: Evidence from selected case studies. Remote Sensing, 10(10), 1526. https://doi.org/10.3390/rs10101526</w:t>
      </w:r>
    </w:p>
    <w:p w14:paraId="34613E92" w14:textId="77777777" w:rsidR="00EC0EEF" w:rsidRDefault="00EC0EEF" w:rsidP="008D4334">
      <w:pPr>
        <w:pStyle w:val="Citationparagraph"/>
        <w:numPr>
          <w:ilvl w:val="0"/>
          <w:numId w:val="2"/>
        </w:numPr>
        <w:spacing w:line="240" w:lineRule="auto"/>
      </w:pPr>
      <w:r>
        <w:t>Zhao, N., Liu, Y., Hsu, F.-C., Samson, E. L., Letu, H., Liang, D., &amp; Cao, G. (2020). Time-series analysis of VIIRS-DNB nighttime lights imagery for change detection in urban areas: A case study of devastation in Puerto Rico from Hurricanes Irma and Maria. Applied Geography, 120, 102222. https://doi.org/10.1016/j.apgeog.2020.102222</w:t>
      </w:r>
    </w:p>
    <w:p w14:paraId="11AA271B" w14:textId="77777777" w:rsidR="00EC0EEF" w:rsidRDefault="00EC0EEF" w:rsidP="008D4334">
      <w:pPr>
        <w:pStyle w:val="Citationparagraph"/>
        <w:numPr>
          <w:ilvl w:val="0"/>
          <w:numId w:val="2"/>
        </w:numPr>
        <w:spacing w:line="240" w:lineRule="auto"/>
      </w:pPr>
      <w:proofErr w:type="spellStart"/>
      <w:r>
        <w:t>Skoufias</w:t>
      </w:r>
      <w:proofErr w:type="spellEnd"/>
      <w:r>
        <w:t>, E., Strobl, E., &amp; Tveit, T. (2021). Can we rely on VIIRS nightlights to estimate the short-term impacts of natural hazards? Evidence from five Southeast Asian countries. Geomatics, Natural Hazards and Risk, 12(1), 381-404. https://doi.org/10.1080/19475705.2021.1879943</w:t>
      </w:r>
    </w:p>
    <w:p w14:paraId="47AAF5E6" w14:textId="77777777" w:rsidR="00EC0EEF" w:rsidRDefault="00EC0EEF" w:rsidP="008D4334">
      <w:pPr>
        <w:pStyle w:val="Citationparagraph"/>
        <w:numPr>
          <w:ilvl w:val="0"/>
          <w:numId w:val="2"/>
        </w:numPr>
        <w:spacing w:line="240" w:lineRule="auto"/>
      </w:pPr>
      <w:r>
        <w:t xml:space="preserve">Jia, M., Li, X., Gong, Y., Belabbes, S., &amp; </w:t>
      </w:r>
      <w:proofErr w:type="spellStart"/>
      <w:r>
        <w:t>Dell’Oro</w:t>
      </w:r>
      <w:proofErr w:type="spellEnd"/>
      <w:r>
        <w:t>, L. (2023). Estimating natural disaster loss using improved daily night-time light data. International Journal of Applied Earth Observation and Geoinformation, 120, 103359. https://doi.org/10.1016/j.jag.2023.103359</w:t>
      </w:r>
    </w:p>
    <w:p w14:paraId="04A85026" w14:textId="77777777" w:rsidR="00EC0EEF" w:rsidRDefault="00EC0EEF" w:rsidP="008D4334">
      <w:pPr>
        <w:pStyle w:val="Citationparagraph"/>
        <w:numPr>
          <w:ilvl w:val="0"/>
          <w:numId w:val="2"/>
        </w:numPr>
        <w:spacing w:line="240" w:lineRule="auto"/>
      </w:pPr>
      <w:r>
        <w:t>Levin, N. (2023). Using night lights from space to assess areas impacted by the 2023 Turkey earthquake. Remote Sensing, 15(8), 2120. https://doi.org/10.3390/rs15082120</w:t>
      </w:r>
    </w:p>
    <w:p w14:paraId="4817823E" w14:textId="77777777" w:rsidR="00EC0EEF" w:rsidRDefault="00EC0EEF" w:rsidP="008D4334">
      <w:pPr>
        <w:pStyle w:val="Citationparagraph"/>
        <w:numPr>
          <w:ilvl w:val="0"/>
          <w:numId w:val="2"/>
        </w:numPr>
        <w:spacing w:line="240" w:lineRule="auto"/>
      </w:pPr>
      <w:r>
        <w:t xml:space="preserve">Hu, Y., Liu, Y., &amp; Zeng, H. (2025). Whole-process assessment of flood resilience in urban and rural communities based on nighttime lights: A case study of the </w:t>
      </w:r>
      <w:proofErr w:type="spellStart"/>
      <w:r>
        <w:t>Zhuozhou</w:t>
      </w:r>
      <w:proofErr w:type="spellEnd"/>
      <w:r>
        <w:t xml:space="preserve"> flood. Urban Climate, 61, 102438. https://doi.org/10.1016/j.uclim.2025.102438</w:t>
      </w:r>
    </w:p>
    <w:p w14:paraId="48EC6674" w14:textId="77777777" w:rsidR="00EC0EEF" w:rsidRDefault="00EC0EEF" w:rsidP="008D4334">
      <w:pPr>
        <w:pStyle w:val="Citationparagraph"/>
        <w:numPr>
          <w:ilvl w:val="0"/>
          <w:numId w:val="2"/>
        </w:numPr>
        <w:spacing w:line="240" w:lineRule="auto"/>
      </w:pPr>
      <w:r>
        <w:t>Mo, Y., Thomas, F., Rui, J., &amp; Hall, J. W. (2025). Daily night-time lights reveal prolonging global electric power system recovery times following tropical cyclone damage. Environmental Research: Infrastructure and Sustainability, 5(3), 035001. https://doi.org/10.1088/2634-4505/ade474</w:t>
      </w:r>
    </w:p>
    <w:p w14:paraId="3023597E" w14:textId="6996E573" w:rsidR="00EC0EEF" w:rsidRDefault="00EC0EEF" w:rsidP="008D4334">
      <w:pPr>
        <w:pStyle w:val="Citationparagraph"/>
        <w:numPr>
          <w:ilvl w:val="0"/>
          <w:numId w:val="2"/>
        </w:numPr>
        <w:spacing w:line="240" w:lineRule="auto"/>
      </w:pPr>
      <w:r>
        <w:t xml:space="preserve">Mu, T., Zheng, Q., &amp; He, S. Y. (2025). Robust disaster impact assessment with synthetic control modeling framework and daily nighttime light time series images. IEEE Transactions on Geoscience and Remote Sensing. </w:t>
      </w:r>
    </w:p>
    <w:p w14:paraId="572CF915" w14:textId="77777777" w:rsidR="00EC0EEF" w:rsidRDefault="00EC0EEF" w:rsidP="008D4334">
      <w:pPr>
        <w:pStyle w:val="Citationparagraph"/>
        <w:numPr>
          <w:ilvl w:val="0"/>
          <w:numId w:val="2"/>
        </w:numPr>
        <w:spacing w:line="240" w:lineRule="auto"/>
      </w:pPr>
      <w:r>
        <w:t>Zheng, Q., Zeng, Y., Zhou, Y., Wang, Z., Mu, T., &amp; Weng, Q. (2025). Nighttime lights reveal substantial spatial heterogeneity and inequality in post-hurricane recovery. Remote Sensing of Environment, 319, 114645. https://doi.org/10.1016/j.rse.2025.114645</w:t>
      </w:r>
    </w:p>
    <w:p w14:paraId="735C9150" w14:textId="77777777" w:rsidR="00EC0EEF" w:rsidRDefault="00EC0EEF" w:rsidP="008D4334">
      <w:pPr>
        <w:pStyle w:val="Citationparagraph"/>
        <w:numPr>
          <w:ilvl w:val="0"/>
          <w:numId w:val="2"/>
        </w:numPr>
        <w:spacing w:line="240" w:lineRule="auto"/>
      </w:pPr>
      <w:r>
        <w:t xml:space="preserve">Thomas, N., Rahimi, S., </w:t>
      </w:r>
      <w:proofErr w:type="spellStart"/>
      <w:r>
        <w:t>Vapsi</w:t>
      </w:r>
      <w:proofErr w:type="spellEnd"/>
      <w:r>
        <w:t xml:space="preserve">, A., Ansell, C., Christie, E., </w:t>
      </w:r>
      <w:proofErr w:type="spellStart"/>
      <w:r>
        <w:t>Borrajo</w:t>
      </w:r>
      <w:proofErr w:type="spellEnd"/>
      <w:r>
        <w:t>, D., Balch, T., &amp; Veloso, M. (2024). Shining a light on hurricane damage estimation via nighttime light data: Pre-processing matters. IEEE International Geoscience and Remote Sensing Symposium, 7746-7751. https://doi.org/10.1109/IGARSS53475.2024.10641216</w:t>
      </w:r>
    </w:p>
    <w:p w14:paraId="413F9F7A" w14:textId="77777777" w:rsidR="00EC0EEF" w:rsidRDefault="00EC0EEF" w:rsidP="008D4334">
      <w:pPr>
        <w:pStyle w:val="Citationparagraph"/>
        <w:numPr>
          <w:ilvl w:val="0"/>
          <w:numId w:val="2"/>
        </w:numPr>
        <w:spacing w:line="240" w:lineRule="auto"/>
      </w:pPr>
      <w:r>
        <w:t xml:space="preserve">Levin, N., Kyba, C. C. M., Zhang, Q., Sánchez de Miguel, A., Román, M. O., Li, X., Portnov, B. A., Molthan, A. L., </w:t>
      </w:r>
      <w:proofErr w:type="spellStart"/>
      <w:r>
        <w:t>Jechow</w:t>
      </w:r>
      <w:proofErr w:type="spellEnd"/>
      <w:r>
        <w:t xml:space="preserve">, A., Miller, S. D., Wang, Z., Shrestha, R. M., &amp; Elvidge, C. D. (2020). Remote sensing of night lights: A </w:t>
      </w:r>
      <w:r>
        <w:lastRenderedPageBreak/>
        <w:t>review and an outlook for the future. Remote Sensing of Environment, 237, 111443. https://doi.org/10.1016/j.rse.2019.111443</w:t>
      </w:r>
    </w:p>
    <w:p w14:paraId="40D5D713" w14:textId="77777777" w:rsidR="00EC0EEF" w:rsidRDefault="00EC0EEF" w:rsidP="008D4334">
      <w:pPr>
        <w:pStyle w:val="Citationparagraph"/>
        <w:numPr>
          <w:ilvl w:val="0"/>
          <w:numId w:val="2"/>
        </w:numPr>
        <w:spacing w:line="240" w:lineRule="auto"/>
      </w:pPr>
      <w:r>
        <w:t>Zhao, M., Zhou, Y., Li, X., Cao, W., He, C., Yu, B., Li, X., Elvidge, C. D., Cheng, W., &amp; Zhou, C. (2019). Applications of satellite remote sensing of nighttime light observations: Advances, challenges, and perspectives. Remote Sensing, 11(17), 1971. https://doi.org/10.3390/rs11171971</w:t>
      </w:r>
    </w:p>
    <w:p w14:paraId="66A8BFE1" w14:textId="77777777" w:rsidR="00EC0EEF" w:rsidRDefault="00EC0EEF" w:rsidP="008D4334">
      <w:pPr>
        <w:pStyle w:val="Citationparagraph"/>
        <w:numPr>
          <w:ilvl w:val="0"/>
          <w:numId w:val="2"/>
        </w:numPr>
        <w:spacing w:line="240" w:lineRule="auto"/>
      </w:pPr>
      <w:r>
        <w:t>Zheng, Q., Seto, K. C., Zhou, Y., You, S., &amp; Weng, Q. (2023). Nighttime light remote sensing for urban applications: Progress, challenges, and prospects. ISPRS Journal of Photogrammetry and Remote Sensing, 202, 125-141. https://doi.org/10.1016/j.isprsjprs.2023.05.028</w:t>
      </w:r>
    </w:p>
    <w:p w14:paraId="72D5FB9E" w14:textId="77777777" w:rsidR="00EC0EEF" w:rsidRDefault="00EC0EEF" w:rsidP="008D4334">
      <w:pPr>
        <w:pStyle w:val="Citationparagraph"/>
        <w:numPr>
          <w:ilvl w:val="0"/>
          <w:numId w:val="2"/>
        </w:numPr>
        <w:spacing w:line="240" w:lineRule="auto"/>
      </w:pPr>
      <w:r>
        <w:t xml:space="preserve">Small, C. (2021). Spatiotemporal characterization of VIIRS night light. </w:t>
      </w:r>
      <w:proofErr w:type="spellStart"/>
      <w:r>
        <w:t>arXiv</w:t>
      </w:r>
      <w:proofErr w:type="spellEnd"/>
      <w:r>
        <w:t>. https://doi.org/10.48550/arXiv.2109.06913</w:t>
      </w:r>
    </w:p>
    <w:p w14:paraId="1622D749" w14:textId="77777777" w:rsidR="00EC0EEF" w:rsidRDefault="00EC0EEF" w:rsidP="008D4334">
      <w:pPr>
        <w:pStyle w:val="Citationparagraph"/>
        <w:numPr>
          <w:ilvl w:val="0"/>
          <w:numId w:val="2"/>
        </w:numPr>
        <w:spacing w:line="240" w:lineRule="auto"/>
      </w:pPr>
      <w:proofErr w:type="spellStart"/>
      <w:r>
        <w:t>Coesfeld</w:t>
      </w:r>
      <w:proofErr w:type="spellEnd"/>
      <w:r>
        <w:t>, J., Kuester, T., Kuechly, H. U., &amp; Kyba, C. C. M. (2020). Reducing variability and removing natural light from nighttime satellite imagery: A case study using the VIIRS DNB. Sensors, 20(11), 3287. https://doi.org/10.3390/s20113287</w:t>
      </w:r>
    </w:p>
    <w:p w14:paraId="51A9BACC" w14:textId="77777777" w:rsidR="00EC0EEF" w:rsidRDefault="00EC0EEF" w:rsidP="008D4334">
      <w:pPr>
        <w:pStyle w:val="Citationparagraph"/>
        <w:numPr>
          <w:ilvl w:val="0"/>
          <w:numId w:val="2"/>
        </w:numPr>
        <w:spacing w:line="240" w:lineRule="auto"/>
      </w:pPr>
      <w:r>
        <w:t>Wang, Z., Román, M. O., Kalb, V. L., Miller, S. D., Zhang, J., &amp; Shrestha, R. M. (2021). Quantifying uncertainties in nighttime light retrievals from Suomi-NPP and NOAA-20 VIIRS Day/Night Band data. Remote Sensing of Environment, 263, 112557. https://doi.org/10.1016/j.rse.2021.112557</w:t>
      </w:r>
    </w:p>
    <w:p w14:paraId="7770158C" w14:textId="77777777" w:rsidR="00EC0EEF" w:rsidRDefault="00EC0EEF" w:rsidP="008D4334">
      <w:pPr>
        <w:pStyle w:val="Citationparagraph"/>
        <w:numPr>
          <w:ilvl w:val="0"/>
          <w:numId w:val="2"/>
        </w:numPr>
        <w:spacing w:line="240" w:lineRule="auto"/>
      </w:pPr>
      <w:r>
        <w:t>Wang, Z., Shrestha, R. M., Román, M. O., &amp; Kalb, V. L. (2022). NASA’s Black Marble multiangle nighttime lights temporal composites. IEEE Geoscience and Remote Sensing Letters, 19, 2505105. https://doi.org/10.1109/LGRS.2022.3176616</w:t>
      </w:r>
    </w:p>
    <w:p w14:paraId="21F79C37" w14:textId="77777777" w:rsidR="00EC0EEF" w:rsidRDefault="00EC0EEF" w:rsidP="008D4334">
      <w:pPr>
        <w:pStyle w:val="Citationparagraph"/>
        <w:numPr>
          <w:ilvl w:val="0"/>
          <w:numId w:val="2"/>
        </w:numPr>
        <w:spacing w:line="240" w:lineRule="auto"/>
      </w:pPr>
      <w:r>
        <w:t>Zheng, Q., Weng, Q., Zhou, Y., &amp; Dong, B. (2022). Impact of temporal compositing on nighttime light data and its applications. Remote Sensing of Environment, 274, 113016. https://doi.org/10.1016/j.rse.2022.113016</w:t>
      </w:r>
    </w:p>
    <w:p w14:paraId="3330A34D" w14:textId="77777777" w:rsidR="00EC0EEF" w:rsidRDefault="00EC0EEF" w:rsidP="008D4334">
      <w:pPr>
        <w:pStyle w:val="Citationparagraph"/>
        <w:numPr>
          <w:ilvl w:val="0"/>
          <w:numId w:val="2"/>
        </w:numPr>
        <w:spacing w:line="240" w:lineRule="auto"/>
      </w:pPr>
      <w:r>
        <w:t>Li, X., Ma, R., Zhang, Q., Li, D., Liu, S., He, T., &amp; Zhao, L. (2019). Anisotropic characteristic of artificial light at night: Systematic investigation with VIIRS DNB multi-temporal observations. Remote Sensing of Environment, 233, 111357. https://doi.org/10.1016/j.rse.2019.111357</w:t>
      </w:r>
    </w:p>
    <w:p w14:paraId="6BF59916" w14:textId="77777777" w:rsidR="00EC0EEF" w:rsidRDefault="00EC0EEF" w:rsidP="008D4334">
      <w:pPr>
        <w:pStyle w:val="Citationparagraph"/>
        <w:numPr>
          <w:ilvl w:val="0"/>
          <w:numId w:val="2"/>
        </w:numPr>
        <w:spacing w:line="240" w:lineRule="auto"/>
      </w:pPr>
      <w:r>
        <w:t xml:space="preserve">Tong, K. P. (2025). Land use and anisotropy of artificial light observed by </w:t>
      </w:r>
      <w:proofErr w:type="gramStart"/>
      <w:r>
        <w:t>night time</w:t>
      </w:r>
      <w:proofErr w:type="gramEnd"/>
      <w:r>
        <w:t xml:space="preserve"> satellite. </w:t>
      </w:r>
      <w:proofErr w:type="spellStart"/>
      <w:r>
        <w:t>arXiv</w:t>
      </w:r>
      <w:proofErr w:type="spellEnd"/>
      <w:r>
        <w:t>. https://doi.org/10.48550/arXiv.2510.05105</w:t>
      </w:r>
    </w:p>
    <w:p w14:paraId="47FED235" w14:textId="77777777" w:rsidR="00EC0EEF" w:rsidRDefault="00EC0EEF" w:rsidP="008D4334">
      <w:pPr>
        <w:pStyle w:val="Citationparagraph"/>
        <w:numPr>
          <w:ilvl w:val="0"/>
          <w:numId w:val="2"/>
        </w:numPr>
        <w:spacing w:line="240" w:lineRule="auto"/>
      </w:pPr>
      <w:r>
        <w:t>Hung, L.-W., Anderson, S. J., Pipkin, A., &amp; Fristrup, K. (2021). Changes in night sky brightness after a countywide LED retrofit. Journal of Environmental Management, 292, 112776. https://doi.org/10.1016/j.jenvman.2021.112776</w:t>
      </w:r>
    </w:p>
    <w:p w14:paraId="15D326C7" w14:textId="77777777" w:rsidR="00EC0EEF" w:rsidRDefault="00EC0EEF" w:rsidP="008D4334">
      <w:pPr>
        <w:pStyle w:val="Citationparagraph"/>
        <w:numPr>
          <w:ilvl w:val="0"/>
          <w:numId w:val="2"/>
        </w:numPr>
        <w:spacing w:line="240" w:lineRule="auto"/>
      </w:pPr>
      <w:r>
        <w:t xml:space="preserve">Kyba, C. C. M., Ruby, A., Kuechly, H. U., Kinzey, B., Miller, N., Sanders, J., Barentine, J., </w:t>
      </w:r>
      <w:proofErr w:type="spellStart"/>
      <w:r>
        <w:t>Kleinodt</w:t>
      </w:r>
      <w:proofErr w:type="spellEnd"/>
      <w:r>
        <w:t>, R., &amp; Espey, B. (2021). Direct measurement of the contribution of street lighting to satellite observations of nighttime light emissions from urban areas. Lighting Research &amp; Technology, 53(3), 189-211. https://doi.org/10.1177/1477153520958463</w:t>
      </w:r>
    </w:p>
    <w:p w14:paraId="60836CDE" w14:textId="77777777" w:rsidR="00EC0EEF" w:rsidRDefault="00EC0EEF" w:rsidP="008D4334">
      <w:pPr>
        <w:pStyle w:val="Citationparagraph"/>
        <w:numPr>
          <w:ilvl w:val="0"/>
          <w:numId w:val="2"/>
        </w:numPr>
        <w:spacing w:line="240" w:lineRule="auto"/>
      </w:pPr>
      <w:r>
        <w:t>Tan, X., Chen, R., Zhu, X., Li, X., Chen, J., Wong, M. S., Xu, S., &amp; Xu, Y. N. (2023). Spatial heterogeneity of uncertainties in daily satellite nighttime light time series. International Journal of Applied Earth Observation and Geoinformation, 123, 103484. https://doi.org/10.1016/j.jag.2023.103484</w:t>
      </w:r>
    </w:p>
    <w:p w14:paraId="2CF472EA" w14:textId="77777777" w:rsidR="00EC0EEF" w:rsidRDefault="00EC0EEF" w:rsidP="008D4334">
      <w:pPr>
        <w:pStyle w:val="Citationparagraph"/>
        <w:numPr>
          <w:ilvl w:val="0"/>
          <w:numId w:val="2"/>
        </w:numPr>
        <w:spacing w:line="240" w:lineRule="auto"/>
      </w:pPr>
      <w:r>
        <w:t>Tan, X., &amp; Zhu, X. (2023). CRYSTAL: A novel and effective method to remove clouds in daily nighttime light images by synergizing spatiotemporal information. Remote Sensing of Environment, 295, 113658. https://doi.org/10.1016/j.rse.2023.113658</w:t>
      </w:r>
    </w:p>
    <w:p w14:paraId="38E954EC" w14:textId="77777777" w:rsidR="00EC0EEF" w:rsidRDefault="00EC0EEF" w:rsidP="008D4334">
      <w:pPr>
        <w:pStyle w:val="Citationparagraph"/>
        <w:numPr>
          <w:ilvl w:val="0"/>
          <w:numId w:val="2"/>
        </w:numPr>
        <w:spacing w:line="240" w:lineRule="auto"/>
      </w:pPr>
      <w:r>
        <w:t xml:space="preserve">Hao, X., Liu, J., Heiskanen, J., Maeda, E. E., Gao, S., &amp; Li, X. (2023). A robust gap-filling method for predicting missing observations in daily Black Marble nighttime light data. </w:t>
      </w:r>
      <w:proofErr w:type="spellStart"/>
      <w:r>
        <w:t>GIScience</w:t>
      </w:r>
      <w:proofErr w:type="spellEnd"/>
      <w:r>
        <w:t xml:space="preserve"> &amp; Remote Sensing, 60(1), 2282238. https://doi.org/10.1080/15481603.2023.2282238</w:t>
      </w:r>
    </w:p>
    <w:p w14:paraId="6A6BBA5F" w14:textId="77777777" w:rsidR="00EC0EEF" w:rsidRDefault="00EC0EEF" w:rsidP="008D4334">
      <w:pPr>
        <w:pStyle w:val="Citationparagraph"/>
        <w:numPr>
          <w:ilvl w:val="0"/>
          <w:numId w:val="2"/>
        </w:numPr>
        <w:spacing w:line="240" w:lineRule="auto"/>
      </w:pPr>
      <w:r>
        <w:t>Pei, Z., Zhu, X., Hu, Y., Chen, J., &amp; Tan, X. (2025). A high-quality daily nighttime light (HDNTL) dataset for global 600+ cities (2012-2024). Earth System Science Data, 17, 5675-5700. https://doi.org/10.5194/essd-17-5675-2025</w:t>
      </w:r>
    </w:p>
    <w:p w14:paraId="41D9CA25" w14:textId="77777777" w:rsidR="00EC0EEF" w:rsidRDefault="00EC0EEF" w:rsidP="008D4334">
      <w:pPr>
        <w:pStyle w:val="Citationparagraph"/>
        <w:numPr>
          <w:ilvl w:val="0"/>
          <w:numId w:val="2"/>
        </w:numPr>
        <w:spacing w:line="240" w:lineRule="auto"/>
      </w:pPr>
      <w:r>
        <w:t>Martinez, J. F., MacManus, K., Stokes, E. C., Wang, Z., &amp; de Sherbinin, A. (2023). Suitability of NASA’s Black Marble daily nighttime lights for population studies at varying spatial and temporal scales. Remote Sensing, 15(10), 2611. https://doi.org/10.3390/rs15102611</w:t>
      </w:r>
    </w:p>
    <w:p w14:paraId="5B2CBC0A" w14:textId="77777777" w:rsidR="00EC0EEF" w:rsidRDefault="00EC0EEF" w:rsidP="008D4334">
      <w:pPr>
        <w:pStyle w:val="Citationparagraph"/>
        <w:numPr>
          <w:ilvl w:val="0"/>
          <w:numId w:val="2"/>
        </w:numPr>
        <w:spacing w:line="240" w:lineRule="auto"/>
      </w:pPr>
      <w:r>
        <w:t>Chakraborty, S., &amp; Stokes, E. C. (2023). Adaptive modeling of satellite-derived nighttime lights time-series for tracking urban change processes using machine learning. Remote Sensing of Environment, 298, 113818. https://doi.org/10.1016/j.rse.2023.113818</w:t>
      </w:r>
    </w:p>
    <w:p w14:paraId="5E36BA3A" w14:textId="77777777" w:rsidR="00EC0EEF" w:rsidRDefault="00EC0EEF" w:rsidP="008D4334">
      <w:pPr>
        <w:pStyle w:val="Citationparagraph"/>
        <w:numPr>
          <w:ilvl w:val="0"/>
          <w:numId w:val="2"/>
        </w:numPr>
        <w:spacing w:line="240" w:lineRule="auto"/>
      </w:pPr>
      <w:r>
        <w:lastRenderedPageBreak/>
        <w:t>Zhao, K., Wulder, M. A., Hu, T., Bright, R., Wu, Q., Qin, H., Li, Y., Toman, E., Mallick, B., Zhang, X., &amp; Brown, M. (2019). A Bayesian estimator of abrupt change, seasonality, and trend in time series. Remote Sensing of Environment, 232, 111181. https://doi.org/10.1016/j.rse.2019.04.001</w:t>
      </w:r>
    </w:p>
    <w:p w14:paraId="749320CD" w14:textId="77777777" w:rsidR="00EC0EEF" w:rsidRDefault="00EC0EEF" w:rsidP="008D4334">
      <w:pPr>
        <w:pStyle w:val="Citationparagraph"/>
        <w:numPr>
          <w:ilvl w:val="0"/>
          <w:numId w:val="2"/>
        </w:numPr>
        <w:spacing w:line="240" w:lineRule="auto"/>
      </w:pPr>
      <w:r>
        <w:t>Cleveland, R. B., Cleveland, W. S., McRae, J. E., &amp; Terpenning, I. (1990). STL: A seasonal-trend decomposition procedure based on LOESS. Journal of Official Statistics, 6(1), 3-33. DOI not assigned.</w:t>
      </w:r>
    </w:p>
    <w:p w14:paraId="4B5E6197" w14:textId="77777777" w:rsidR="00EC0EEF" w:rsidRDefault="00EC0EEF" w:rsidP="008D4334">
      <w:pPr>
        <w:pStyle w:val="Citationparagraph"/>
        <w:numPr>
          <w:ilvl w:val="0"/>
          <w:numId w:val="2"/>
        </w:numPr>
        <w:spacing w:line="240" w:lineRule="auto"/>
      </w:pPr>
      <w:r>
        <w:t>Theodosiou, M. (2011). Forecasting monthly and quarterly time series using STL decomposition. International Journal of Forecasting, 27(4), 1178-1195. https://doi.org/10.1016/j.ijforecast.2010.11.002</w:t>
      </w:r>
    </w:p>
    <w:p w14:paraId="7ED2C720" w14:textId="77777777" w:rsidR="00EC0EEF" w:rsidRDefault="00EC0EEF" w:rsidP="008D4334">
      <w:pPr>
        <w:pStyle w:val="Citationparagraph"/>
        <w:numPr>
          <w:ilvl w:val="0"/>
          <w:numId w:val="2"/>
        </w:numPr>
        <w:spacing w:line="240" w:lineRule="auto"/>
      </w:pPr>
      <w:r>
        <w:t>Stathakis, D., &amp; Baltas, P. (2018). Seasonal population estimates based on night-time lights. Computers, Environment and Urban Systems, 68, 133-143. https://doi.org/10.1016/j.compenvurbsys.2017.12.001</w:t>
      </w:r>
    </w:p>
    <w:p w14:paraId="772E1EB1" w14:textId="77777777" w:rsidR="00EC0EEF" w:rsidRDefault="00EC0EEF" w:rsidP="008D4334">
      <w:pPr>
        <w:pStyle w:val="Citationparagraph"/>
        <w:numPr>
          <w:ilvl w:val="0"/>
          <w:numId w:val="2"/>
        </w:numPr>
        <w:spacing w:line="240" w:lineRule="auto"/>
      </w:pPr>
      <w:r>
        <w:t>Levin, N., Ali, S., &amp; Crandall, D. (2018). Utilizing remote sensing and big data to quantify conflict intensity: The Arab Spring as a case study. Applied Geography, 94, 1-17. https://doi.org/10.1016/j.apgeog.2018.03.001</w:t>
      </w:r>
    </w:p>
    <w:p w14:paraId="3F5C671C" w14:textId="77777777" w:rsidR="00EC0EEF" w:rsidRDefault="00EC0EEF" w:rsidP="008D4334">
      <w:pPr>
        <w:pStyle w:val="Citationparagraph"/>
        <w:numPr>
          <w:ilvl w:val="0"/>
          <w:numId w:val="2"/>
        </w:numPr>
        <w:spacing w:line="240" w:lineRule="auto"/>
      </w:pPr>
      <w:r>
        <w:t xml:space="preserve">Zheng, Z., Wu, Z., Cao, Z., Zhang, Q., Chen, Y., Guo, G., Yang, Z., Guo, C., Wang, X., &amp; Marinello, F. (2022). Estimates of power shortages and affected populations during the initial period of the </w:t>
      </w:r>
      <w:proofErr w:type="gramStart"/>
      <w:r>
        <w:t>Ukrainian-Russian</w:t>
      </w:r>
      <w:proofErr w:type="gramEnd"/>
      <w:r>
        <w:t xml:space="preserve"> conflict. Remote Sensing, 14(19), 4793. https://doi.org/10.3390/rs14194793</w:t>
      </w:r>
    </w:p>
    <w:p w14:paraId="56EC6BEC" w14:textId="77777777" w:rsidR="00EC0EEF" w:rsidRDefault="00EC0EEF" w:rsidP="008D4334">
      <w:pPr>
        <w:pStyle w:val="Citationparagraph"/>
        <w:numPr>
          <w:ilvl w:val="0"/>
          <w:numId w:val="2"/>
        </w:numPr>
        <w:spacing w:line="240" w:lineRule="auto"/>
      </w:pPr>
      <w:r>
        <w:t xml:space="preserve">Elvidge, C. D., Ghosh, T., Hsu, F.-C., </w:t>
      </w:r>
      <w:proofErr w:type="spellStart"/>
      <w:r>
        <w:t>Zhizhin</w:t>
      </w:r>
      <w:proofErr w:type="spellEnd"/>
      <w:r>
        <w:t>, M., &amp; Bazilian, M. (2020). The dimming of lights in China during the COVID-19 pandemic. Remote Sensing, 12(17), 2851. https://doi.org/10.3390/rs12172851</w:t>
      </w:r>
    </w:p>
    <w:p w14:paraId="46F512E7" w14:textId="77777777" w:rsidR="00EC0EEF" w:rsidRDefault="00EC0EEF" w:rsidP="008D4334">
      <w:pPr>
        <w:pStyle w:val="Citationparagraph"/>
        <w:numPr>
          <w:ilvl w:val="0"/>
          <w:numId w:val="2"/>
        </w:numPr>
        <w:spacing w:line="240" w:lineRule="auto"/>
      </w:pPr>
      <w:r>
        <w:t xml:space="preserve">Ghosh, T., Elvidge, C. D., Hsu, F.-C., </w:t>
      </w:r>
      <w:proofErr w:type="spellStart"/>
      <w:r>
        <w:t>Zhizhin</w:t>
      </w:r>
      <w:proofErr w:type="spellEnd"/>
      <w:r>
        <w:t>, M., &amp; Bazilian, M. (2020). The dimming of lights in India during the COVID-19 pandemic. Remote Sensing, 12(20), 3289. https://doi.org/10.3390/rs12203289</w:t>
      </w:r>
    </w:p>
    <w:p w14:paraId="42E2FD69" w14:textId="77777777" w:rsidR="00EC0EEF" w:rsidRDefault="00EC0EEF" w:rsidP="008D4334">
      <w:pPr>
        <w:pStyle w:val="Citationparagraph"/>
        <w:numPr>
          <w:ilvl w:val="0"/>
          <w:numId w:val="2"/>
        </w:numPr>
        <w:spacing w:line="240" w:lineRule="auto"/>
      </w:pPr>
      <w:r>
        <w:t>Stokes, E. C., &amp; Román, M. O. (2022). Tracking COVID-19 urban activity changes in the Middle East from nighttime lights. Scientific Reports, 12, 8096. https://doi.org/10.1038/s41598-022-12211-7</w:t>
      </w:r>
    </w:p>
    <w:p w14:paraId="192088A7" w14:textId="77777777" w:rsidR="00EC0EEF" w:rsidRDefault="00EC0EEF" w:rsidP="008D4334">
      <w:pPr>
        <w:pStyle w:val="Citationparagraph"/>
        <w:numPr>
          <w:ilvl w:val="0"/>
          <w:numId w:val="2"/>
        </w:numPr>
        <w:spacing w:line="240" w:lineRule="auto"/>
      </w:pPr>
      <w:r>
        <w:t>Xu, G., Xiu, T., Li, X., Liang, X., &amp; Jiao, L. (2021). Lockdown induced night-time light dynamics during the COVID-19 epidemic in global megacities. International Journal of Applied Earth Observation and Geoinformation, 102, 102421. https://doi.org/10.1016/j.jag.2021.102421</w:t>
      </w:r>
    </w:p>
    <w:p w14:paraId="10272A8A" w14:textId="5CED6A81" w:rsidR="00EC0EEF" w:rsidRDefault="00EC0EEF" w:rsidP="008D4334">
      <w:pPr>
        <w:pStyle w:val="Citationparagraph"/>
        <w:numPr>
          <w:ilvl w:val="0"/>
          <w:numId w:val="2"/>
        </w:numPr>
        <w:spacing w:line="240" w:lineRule="auto"/>
      </w:pPr>
      <w:r>
        <w:t xml:space="preserve">Zhang, Y., Peng, N., Yang, S., &amp; Jia, P. (2022). Associations between nighttime light and COVID-19 incidence and mortality in the United States. International Journal of Applied Earth Observation and Geoinformation, 112, 102908. </w:t>
      </w:r>
    </w:p>
    <w:p w14:paraId="4997A8A1" w14:textId="77777777" w:rsidR="00EC0EEF" w:rsidRDefault="00EC0EEF" w:rsidP="008D4334">
      <w:pPr>
        <w:pStyle w:val="Citationparagraph"/>
        <w:numPr>
          <w:ilvl w:val="0"/>
          <w:numId w:val="2"/>
        </w:numPr>
        <w:spacing w:line="240" w:lineRule="auto"/>
      </w:pPr>
      <w:r>
        <w:t xml:space="preserve">Liu, Q., Sha, D., Liu, W., Houser, P., Zhang, L., Hou, R., Lan, H., Flynn, C., Lu, M., Hu, T., &amp; Yang, C. (2020). Spatiotemporal patterns of COVID-19 impact on human activities and environment in China using nighttime light and air quality data. </w:t>
      </w:r>
      <w:proofErr w:type="spellStart"/>
      <w:r>
        <w:t>arXiv</w:t>
      </w:r>
      <w:proofErr w:type="spellEnd"/>
      <w:r>
        <w:t>. https://doi.org/10.48550/arXiv.2005.02808</w:t>
      </w:r>
    </w:p>
    <w:p w14:paraId="5A2D00AD" w14:textId="77777777" w:rsidR="00EC0EEF" w:rsidRDefault="00EC0EEF" w:rsidP="008D4334">
      <w:pPr>
        <w:pStyle w:val="Citationparagraph"/>
        <w:numPr>
          <w:ilvl w:val="0"/>
          <w:numId w:val="2"/>
        </w:numPr>
        <w:spacing w:line="240" w:lineRule="auto"/>
      </w:pPr>
      <w:r>
        <w:t xml:space="preserve">Li, S., &amp; Wang, X. (2026). Spatiotemporal analysis of electricity reliability using VIIRS nighttime lights: Case study in South Africa. Journal of </w:t>
      </w:r>
      <w:proofErr w:type="spellStart"/>
      <w:r>
        <w:t>Geovisualization</w:t>
      </w:r>
      <w:proofErr w:type="spellEnd"/>
      <w:r>
        <w:t xml:space="preserve"> and Spatial Analysis, 10, 6. https://doi.org/10.1007/s41651-026-00250-x</w:t>
      </w:r>
    </w:p>
    <w:p w14:paraId="0B7FE509" w14:textId="77777777" w:rsidR="00EC0EEF" w:rsidRDefault="00EC0EEF" w:rsidP="008D4334">
      <w:pPr>
        <w:pStyle w:val="Citationparagraph"/>
        <w:numPr>
          <w:ilvl w:val="0"/>
          <w:numId w:val="2"/>
        </w:numPr>
        <w:spacing w:line="240" w:lineRule="auto"/>
      </w:pPr>
      <w:r>
        <w:t>Xu, N., Cao, X., &amp; Chen, M. (2026). Assessing power system reliability using anomaly detection in daily nighttime light data. Remote Sensing, 18(9), 1417. https://doi.org/10.3390/rs18091417</w:t>
      </w:r>
    </w:p>
    <w:p w14:paraId="44824B3B" w14:textId="77777777" w:rsidR="00EC0EEF" w:rsidRDefault="00EC0EEF" w:rsidP="008D4334">
      <w:pPr>
        <w:pStyle w:val="Citationparagraph"/>
        <w:numPr>
          <w:ilvl w:val="0"/>
          <w:numId w:val="2"/>
        </w:numPr>
        <w:spacing w:line="240" w:lineRule="auto"/>
      </w:pPr>
      <w:r>
        <w:t>Yang, Y., Xue, J., Zhang, X., Li, X., Cheng, Y., &amp; Yang, S. (2026). Disparity between urban and rural electricity consumption in the Yellow River Basin, China. Energy, 344, 139975. https://doi.org/10.1016/j.energy.2026.139975</w:t>
      </w:r>
    </w:p>
    <w:p w14:paraId="558D02C7" w14:textId="77777777" w:rsidR="00EC0EEF" w:rsidRDefault="00EC0EEF" w:rsidP="008D4334">
      <w:pPr>
        <w:pStyle w:val="Citationparagraph"/>
        <w:numPr>
          <w:ilvl w:val="0"/>
          <w:numId w:val="2"/>
        </w:numPr>
        <w:spacing w:line="240" w:lineRule="auto"/>
      </w:pPr>
      <w:r>
        <w:t xml:space="preserve">Chakraborty, S., Alexander, O., Kittner, N., &amp; Wang, Z. (2025). A global </w:t>
      </w:r>
      <w:proofErr w:type="spellStart"/>
      <w:r>
        <w:t>stocktake</w:t>
      </w:r>
      <w:proofErr w:type="spellEnd"/>
      <w:r>
        <w:t xml:space="preserve"> on electricity access and gaps from NASA Black Marble nighttime lights. Earth’s Future, 13, e2024EF005916. https://doi.org/10.1029/2024EF005916</w:t>
      </w:r>
    </w:p>
    <w:p w14:paraId="1DB07F29" w14:textId="77777777" w:rsidR="00EC0EEF" w:rsidRDefault="00EC0EEF" w:rsidP="008D4334">
      <w:pPr>
        <w:pStyle w:val="Citationparagraph"/>
        <w:numPr>
          <w:ilvl w:val="0"/>
          <w:numId w:val="2"/>
        </w:numPr>
        <w:spacing w:line="240" w:lineRule="auto"/>
      </w:pPr>
      <w:r>
        <w:t>Wu, J., Tu, Y., Chen, Z., &amp; Yu, B. (2022). Analyzing the spatially heterogeneous relationships between nighttime light intensity and human activities across Chongqing, China. Remote Sensing, 14(22), 5695. https://doi.org/10.3390/rs14225695</w:t>
      </w:r>
    </w:p>
    <w:p w14:paraId="170B0CD5" w14:textId="77777777" w:rsidR="00EC0EEF" w:rsidRDefault="00EC0EEF" w:rsidP="008D4334">
      <w:pPr>
        <w:pStyle w:val="Citationparagraph"/>
        <w:numPr>
          <w:ilvl w:val="0"/>
          <w:numId w:val="2"/>
        </w:numPr>
        <w:spacing w:line="240" w:lineRule="auto"/>
      </w:pPr>
      <w:r>
        <w:t xml:space="preserve">Schiavina, M., Melchiorri, M., &amp; Pesaresi, M. (2023). GHS-SMOD R2023A: GHS settlement layers, application of the Degree of </w:t>
      </w:r>
      <w:proofErr w:type="spellStart"/>
      <w:r>
        <w:t>Urbanisation</w:t>
      </w:r>
      <w:proofErr w:type="spellEnd"/>
      <w:r>
        <w:t xml:space="preserve"> methodology (stage I) to GHS-POP R2023A and GHS-BUILT-S R2023A, multitemporal (1975-2030). European Commission Joint Research Centre. https://doi.org/10.2905/A0DF7A6F-49DE-46EA-9BDE-563437A6E2BA</w:t>
      </w:r>
    </w:p>
    <w:p w14:paraId="1DF7FF0E" w14:textId="77777777" w:rsidR="00EC0EEF" w:rsidRDefault="00EC0EEF" w:rsidP="008D4334">
      <w:pPr>
        <w:pStyle w:val="Citationparagraph"/>
        <w:numPr>
          <w:ilvl w:val="0"/>
          <w:numId w:val="2"/>
        </w:numPr>
        <w:spacing w:line="240" w:lineRule="auto"/>
      </w:pPr>
      <w:r>
        <w:t>Friedrich, H. K., Aggarwal, E., Buijs, S. L., Chakraborty, S., Hall, C. A., Hu, Y., &amp; Tellman, B. (2026). Satellite earth observation for recovery from hydrometeorological hazards. Journal details pending. DOI pending.</w:t>
      </w:r>
    </w:p>
    <w:p w14:paraId="4E006DFD" w14:textId="77777777" w:rsidR="00EC0EEF" w:rsidRDefault="00EC0EEF" w:rsidP="008D4334">
      <w:pPr>
        <w:pStyle w:val="Citationparagraph"/>
        <w:numPr>
          <w:ilvl w:val="0"/>
          <w:numId w:val="2"/>
        </w:numPr>
        <w:spacing w:line="240" w:lineRule="auto"/>
      </w:pPr>
      <w:r>
        <w:t xml:space="preserve">Lauer, H., Scholz, W., Islam, S., Kaiser, M., &amp; Eugenio, V. F. (2026). From danger to death zones: Living with the floods in the resettlement site of </w:t>
      </w:r>
      <w:proofErr w:type="spellStart"/>
      <w:r>
        <w:t>Kasiglahan</w:t>
      </w:r>
      <w:proofErr w:type="spellEnd"/>
      <w:r>
        <w:t xml:space="preserve"> Village in the Philippines. Journal details pending. DOI pending.</w:t>
      </w:r>
    </w:p>
    <w:p w14:paraId="01885BB4" w14:textId="77777777" w:rsidR="00EC0EEF" w:rsidRDefault="00EC0EEF" w:rsidP="008D4334">
      <w:pPr>
        <w:pStyle w:val="Citationparagraph"/>
        <w:numPr>
          <w:ilvl w:val="0"/>
          <w:numId w:val="2"/>
        </w:numPr>
        <w:spacing w:line="240" w:lineRule="auto"/>
      </w:pPr>
      <w:r>
        <w:lastRenderedPageBreak/>
        <w:t xml:space="preserve">Ramel, R. C. D., Legaspi, J. D., &amp; </w:t>
      </w:r>
      <w:proofErr w:type="spellStart"/>
      <w:r>
        <w:t>Pajaron</w:t>
      </w:r>
      <w:proofErr w:type="spellEnd"/>
      <w:r>
        <w:t>, M. C. (2026). Illuminating the land: The effects of nighttime lights on land values in the Philippines. Remote Sensing Letters, 17(5), 496-510. DOI pending.</w:t>
      </w:r>
    </w:p>
    <w:p w14:paraId="6732C53B" w14:textId="77777777" w:rsidR="00EC0EEF" w:rsidRDefault="00EC0EEF" w:rsidP="008D4334">
      <w:pPr>
        <w:pStyle w:val="Citationparagraph"/>
        <w:numPr>
          <w:ilvl w:val="0"/>
          <w:numId w:val="2"/>
        </w:numPr>
        <w:spacing w:line="240" w:lineRule="auto"/>
      </w:pPr>
      <w:r>
        <w:t>Bollettino, V., Alcayna-Stevens, T., Sharma, M., Dy, P., Pham, P., &amp; Vinck, P. (2020). Public perception of climate change and disaster preparedness: Evidence from the Philippines. Climate Risk Management, 30, 100250. https://doi.org/10.1016/j.crm.2020.100250</w:t>
      </w:r>
    </w:p>
    <w:p w14:paraId="21C55528" w14:textId="1B1BCF20" w:rsidR="00EC0EEF" w:rsidRDefault="00EC0EEF" w:rsidP="008D4334">
      <w:pPr>
        <w:pStyle w:val="Citationparagraph"/>
        <w:numPr>
          <w:ilvl w:val="0"/>
          <w:numId w:val="2"/>
        </w:numPr>
        <w:spacing w:line="240" w:lineRule="auto"/>
      </w:pPr>
      <w:proofErr w:type="spellStart"/>
      <w:r>
        <w:t>Iuchi</w:t>
      </w:r>
      <w:proofErr w:type="spellEnd"/>
      <w:r>
        <w:t xml:space="preserve">, K., </w:t>
      </w:r>
      <w:proofErr w:type="spellStart"/>
      <w:r>
        <w:t>Jibiki</w:t>
      </w:r>
      <w:proofErr w:type="spellEnd"/>
      <w:r>
        <w:t xml:space="preserve">, Y., Solidum, R., &amp; Santiago, R. (2019). Natural hazards governance in the Philippines. Oxford Research Encyclopedia of Natural Hazard Science. </w:t>
      </w:r>
    </w:p>
    <w:p w14:paraId="2A60B3FA" w14:textId="70CAFECC" w:rsidR="00EC0EEF" w:rsidRDefault="00EC0EEF" w:rsidP="008D4334">
      <w:pPr>
        <w:pStyle w:val="Citationparagraph"/>
        <w:numPr>
          <w:ilvl w:val="0"/>
          <w:numId w:val="2"/>
        </w:numPr>
        <w:spacing w:line="240" w:lineRule="auto"/>
      </w:pPr>
      <w:r>
        <w:t xml:space="preserve">Japan International Cooperation Agency, Shikoku Electric Power Co., Inc., &amp; Japan Economic Research Institute. (2015). Republic of the Philippines data collection survey on the incentive mechanism for improving disaster resiliency of electric power distribution network: Final report. JICA. </w:t>
      </w:r>
    </w:p>
    <w:p w14:paraId="5AE54C7E" w14:textId="14E5C68F" w:rsidR="00EC0EEF" w:rsidRDefault="00EC0EEF" w:rsidP="008D4334">
      <w:pPr>
        <w:pStyle w:val="Citationparagraph"/>
        <w:numPr>
          <w:ilvl w:val="0"/>
          <w:numId w:val="2"/>
        </w:numPr>
        <w:spacing w:line="240" w:lineRule="auto"/>
      </w:pPr>
      <w:r>
        <w:t xml:space="preserve">Correa, S., Klugman, N., &amp; Taneja, J. (2018). How many smartphones does it take to detect a power outage? Proceedings of the ACM SIGCAS Conference on Computing and Sustainable Societies. </w:t>
      </w:r>
    </w:p>
    <w:p w14:paraId="29B47356" w14:textId="77777777" w:rsidR="00EC0EEF" w:rsidRDefault="00EC0EEF" w:rsidP="008D4334">
      <w:pPr>
        <w:pStyle w:val="Citationparagraph"/>
        <w:numPr>
          <w:ilvl w:val="0"/>
          <w:numId w:val="2"/>
        </w:numPr>
        <w:spacing w:line="240" w:lineRule="auto"/>
      </w:pPr>
      <w:r>
        <w:t>Kishore, N., Marqués, D., Mahmud, A., Kiang, M. V., Rodriguez, I., Fuller, A., Ebner, P., Sorensen, C., Racy, F., Lemery, J., Maas, L., Leaning, J., Irizarry, R. A., Balsari, S., &amp; Buckee, C. O. (2018). Mortality in Puerto Rico after Hurricane Maria. New England Journal of Medicine, 379(2), 162-170. https://doi.org/10.1056/NEJMsa1803972</w:t>
      </w:r>
    </w:p>
    <w:p w14:paraId="0AB983DC" w14:textId="77777777" w:rsidR="00EC0EEF" w:rsidRDefault="00EC0EEF" w:rsidP="008D4334">
      <w:pPr>
        <w:pStyle w:val="Citationparagraph"/>
        <w:numPr>
          <w:ilvl w:val="0"/>
          <w:numId w:val="2"/>
        </w:numPr>
        <w:spacing w:line="240" w:lineRule="auto"/>
      </w:pPr>
      <w:r>
        <w:t>Larsen, P. H., Boehlert, B., Eto, J., Hamachi-LaCommare, K., Martinich, J., &amp; Rennels, L. (2018). Projecting future costs to U.S. electric utility customers from power interruptions. Energy, 147, 1256-1277. https://doi.org/10.1016/j.energy.2017.12.081</w:t>
      </w:r>
    </w:p>
    <w:p w14:paraId="0A044BB1" w14:textId="369DC49B" w:rsidR="00EC0EEF" w:rsidRDefault="00EC0EEF" w:rsidP="008D4334">
      <w:pPr>
        <w:pStyle w:val="Citationparagraph"/>
        <w:numPr>
          <w:ilvl w:val="0"/>
          <w:numId w:val="2"/>
        </w:numPr>
        <w:spacing w:line="240" w:lineRule="auto"/>
      </w:pPr>
      <w:r>
        <w:t xml:space="preserve">National Disaster Risk Reduction and Management Council. (2015). Final report re effects of Typhoon Yolanda (Haiyan). Government of the Philippines. </w:t>
      </w:r>
    </w:p>
    <w:p w14:paraId="61D884B0" w14:textId="5D8C48BF" w:rsidR="00EC0EEF" w:rsidRDefault="00EC0EEF" w:rsidP="008D4334">
      <w:pPr>
        <w:pStyle w:val="Citationparagraph"/>
        <w:numPr>
          <w:ilvl w:val="0"/>
          <w:numId w:val="2"/>
        </w:numPr>
        <w:spacing w:line="240" w:lineRule="auto"/>
      </w:pPr>
      <w:proofErr w:type="spellStart"/>
      <w:r>
        <w:t>Bündnis</w:t>
      </w:r>
      <w:proofErr w:type="spellEnd"/>
      <w:r>
        <w:t xml:space="preserve"> </w:t>
      </w:r>
      <w:proofErr w:type="spellStart"/>
      <w:r>
        <w:t>Entwicklung</w:t>
      </w:r>
      <w:proofErr w:type="spellEnd"/>
      <w:r>
        <w:t xml:space="preserve"> </w:t>
      </w:r>
      <w:proofErr w:type="spellStart"/>
      <w:r>
        <w:t>Hilft</w:t>
      </w:r>
      <w:proofErr w:type="spellEnd"/>
      <w:r>
        <w:t xml:space="preserve"> &amp; Institute for International Law of Peace and Armed Conflict. (2023). </w:t>
      </w:r>
      <w:proofErr w:type="spellStart"/>
      <w:r>
        <w:t>WorldRiskReport</w:t>
      </w:r>
      <w:proofErr w:type="spellEnd"/>
      <w:r>
        <w:t xml:space="preserve"> 2023: Focus: Diversity. </w:t>
      </w:r>
      <w:proofErr w:type="spellStart"/>
      <w:r>
        <w:t>Bündnis</w:t>
      </w:r>
      <w:proofErr w:type="spellEnd"/>
      <w:r>
        <w:t xml:space="preserve"> </w:t>
      </w:r>
      <w:proofErr w:type="spellStart"/>
      <w:r>
        <w:t>Entwicklung</w:t>
      </w:r>
      <w:proofErr w:type="spellEnd"/>
      <w:r>
        <w:t xml:space="preserve"> </w:t>
      </w:r>
      <w:proofErr w:type="spellStart"/>
      <w:r>
        <w:t>Hilft</w:t>
      </w:r>
      <w:proofErr w:type="spellEnd"/>
      <w:r>
        <w:t xml:space="preserve">. </w:t>
      </w:r>
    </w:p>
    <w:p w14:paraId="4A674767" w14:textId="69CFAA71" w:rsidR="00EC0EEF" w:rsidRDefault="00EC0EEF" w:rsidP="008D4334">
      <w:pPr>
        <w:pStyle w:val="Citationparagraph"/>
        <w:numPr>
          <w:ilvl w:val="0"/>
          <w:numId w:val="2"/>
        </w:numPr>
        <w:spacing w:line="240" w:lineRule="auto"/>
      </w:pPr>
      <w:r>
        <w:t xml:space="preserve">United Nations Office for Disaster Risk Reduction. (2022). Global Assessment Report on Disaster Risk Reduction 2022: Our World at Risk: Transforming Governance for a Resilient Future. UNDRR. </w:t>
      </w:r>
    </w:p>
    <w:p w14:paraId="772B10BB" w14:textId="5ECA8FD5" w:rsidR="00EC0EEF" w:rsidRDefault="00EC0EEF" w:rsidP="008D4334">
      <w:pPr>
        <w:pStyle w:val="Citationparagraph"/>
        <w:numPr>
          <w:ilvl w:val="0"/>
          <w:numId w:val="2"/>
        </w:numPr>
        <w:spacing w:line="240" w:lineRule="auto"/>
      </w:pPr>
      <w:r>
        <w:t>Internal Displacement Monitoring Centre. (2013). Disaster-induced internal displacement in the Philippines: The case of Tropical Storm Washi/</w:t>
      </w:r>
      <w:proofErr w:type="spellStart"/>
      <w:r>
        <w:t>Sendong</w:t>
      </w:r>
      <w:proofErr w:type="spellEnd"/>
      <w:r>
        <w:t xml:space="preserve">. IDMC. </w:t>
      </w:r>
    </w:p>
    <w:p w14:paraId="4A2DDFBA" w14:textId="1BFCD5F8" w:rsidR="00EC0EEF" w:rsidRDefault="00EC0EEF" w:rsidP="008D4334">
      <w:pPr>
        <w:pStyle w:val="Citationparagraph"/>
        <w:numPr>
          <w:ilvl w:val="0"/>
          <w:numId w:val="2"/>
        </w:numPr>
        <w:spacing w:line="240" w:lineRule="auto"/>
      </w:pPr>
      <w:r>
        <w:t xml:space="preserve">Villanueva, M. V. S. (2018). Challenges and opportunities for sustainable post-disaster resettlement in the Philippines. </w:t>
      </w:r>
      <w:proofErr w:type="spellStart"/>
      <w:r>
        <w:t>PreventionWeb</w:t>
      </w:r>
      <w:proofErr w:type="spellEnd"/>
      <w:r>
        <w:t xml:space="preserve">. </w:t>
      </w:r>
    </w:p>
    <w:p w14:paraId="5CECBDE8" w14:textId="4DFF1DD0" w:rsidR="00EC0EEF" w:rsidRDefault="00EC0EEF" w:rsidP="008D4334">
      <w:pPr>
        <w:pStyle w:val="Citationparagraph"/>
        <w:numPr>
          <w:ilvl w:val="0"/>
          <w:numId w:val="2"/>
        </w:numPr>
        <w:spacing w:line="240" w:lineRule="auto"/>
      </w:pPr>
      <w:r>
        <w:t xml:space="preserve">Arroyo, I., &amp; </w:t>
      </w:r>
      <w:proofErr w:type="spellStart"/>
      <w:r>
        <w:t>Åstrand</w:t>
      </w:r>
      <w:proofErr w:type="spellEnd"/>
      <w:r>
        <w:t xml:space="preserve">, J. (2019). Housing recovery outcomes after Typhoon Haiyan in the Philippines: A critical realist perspective. Journal of Critical Realism, 18(2), 142-168. </w:t>
      </w:r>
    </w:p>
    <w:p w14:paraId="013E573C" w14:textId="77777777" w:rsidR="00EC0EEF" w:rsidRDefault="00EC0EEF" w:rsidP="008D4334">
      <w:pPr>
        <w:pStyle w:val="Citationparagraph"/>
        <w:numPr>
          <w:ilvl w:val="0"/>
          <w:numId w:val="2"/>
        </w:numPr>
        <w:spacing w:line="240" w:lineRule="auto"/>
      </w:pPr>
      <w:proofErr w:type="spellStart"/>
      <w:r>
        <w:t>Mangada</w:t>
      </w:r>
      <w:proofErr w:type="spellEnd"/>
      <w:r>
        <w:t xml:space="preserve">, L. L., &amp; </w:t>
      </w:r>
      <w:proofErr w:type="spellStart"/>
      <w:r>
        <w:t>Cuaton</w:t>
      </w:r>
      <w:proofErr w:type="spellEnd"/>
      <w:r>
        <w:t>, G. P. (2022). Typhoon Haiyan survivors at the resettlement sites: COVID-19 pandemic realities and challenges. Dialogues in Health, 1, 100005. https://doi.org/10.1016/j.dialog.2022.100005</w:t>
      </w:r>
    </w:p>
    <w:p w14:paraId="4FA54621" w14:textId="4F278170" w:rsidR="00EC0EEF" w:rsidRDefault="00EC0EEF" w:rsidP="008D4334">
      <w:pPr>
        <w:pStyle w:val="Citationparagraph"/>
        <w:numPr>
          <w:ilvl w:val="0"/>
          <w:numId w:val="2"/>
        </w:numPr>
        <w:spacing w:line="240" w:lineRule="auto"/>
      </w:pPr>
      <w:r>
        <w:t xml:space="preserve">Eadie, P. (2019). Typhoon Yolanda and post-disaster resilience: Problems and challenges. Asia Pacific Viewpoint, 60(1), 94-107. </w:t>
      </w:r>
    </w:p>
    <w:p w14:paraId="128035B6" w14:textId="77777777" w:rsidR="00EC0EEF" w:rsidRDefault="00EC0EEF" w:rsidP="008D4334">
      <w:pPr>
        <w:pStyle w:val="Citationparagraph"/>
        <w:numPr>
          <w:ilvl w:val="0"/>
          <w:numId w:val="2"/>
        </w:numPr>
        <w:spacing w:line="240" w:lineRule="auto"/>
      </w:pPr>
      <w:r>
        <w:t>Yee, D. K. P. (2018). Constructing reconstruction, territorializing risk: Imposing “no-build zones” in post-disaster reconstruction in Tacloban City, Philippines. Critical Asian Studies, 50(1), 103-121. https://doi.org/10.1080/14672715.2017.1401938</w:t>
      </w:r>
    </w:p>
    <w:p w14:paraId="5B993E43" w14:textId="4DA93AAC" w:rsidR="00EC0EEF" w:rsidRDefault="00EC0EEF" w:rsidP="008D4334">
      <w:pPr>
        <w:pStyle w:val="Citationparagraph"/>
        <w:numPr>
          <w:ilvl w:val="0"/>
          <w:numId w:val="2"/>
        </w:numPr>
        <w:spacing w:line="240" w:lineRule="auto"/>
      </w:pPr>
      <w:r>
        <w:t xml:space="preserve">Palagi, S., &amp; Javernick-Will, A. (2018). Community outcomes summary of survey: Thirteen Tacloban City relocation sites. University of Colorado Boulder. </w:t>
      </w:r>
    </w:p>
    <w:p w14:paraId="20F6848E" w14:textId="6135A10B" w:rsidR="00EC0EEF" w:rsidRDefault="00EC0EEF" w:rsidP="008D4334">
      <w:pPr>
        <w:pStyle w:val="Citationparagraph"/>
        <w:numPr>
          <w:ilvl w:val="0"/>
          <w:numId w:val="2"/>
        </w:numPr>
        <w:spacing w:line="240" w:lineRule="auto"/>
      </w:pPr>
      <w:r>
        <w:t xml:space="preserve">Carrasco, S., Ochiai, C., &amp; Okazaki, K. (2016). Influence of housing designs on resident-initiated housing modifications in resettlement sites in Cagayan de Oro, Philippines. Journal of Social Safety Science, 28, 1-10. </w:t>
      </w:r>
    </w:p>
    <w:p w14:paraId="2C480ADD" w14:textId="77777777" w:rsidR="00EC0EEF" w:rsidRDefault="00EC0EEF" w:rsidP="008D4334">
      <w:pPr>
        <w:pStyle w:val="Citationparagraph"/>
        <w:numPr>
          <w:ilvl w:val="0"/>
          <w:numId w:val="2"/>
        </w:numPr>
        <w:spacing w:line="240" w:lineRule="auto"/>
      </w:pPr>
      <w:r>
        <w:t>Cutter, S. L., Barnes, L., Berry, M., Burton, C., Evans, E., Tate, E., &amp; Webb, J. (2008). A place-based model for understanding community resilience to natural disasters. Global Environmental Change, 18(4), 598-606. https://doi.org/10.1016/j.gloenvcha.2008.07.013</w:t>
      </w:r>
    </w:p>
    <w:p w14:paraId="62D57A81" w14:textId="77777777" w:rsidR="00EC0EEF" w:rsidRDefault="00EC0EEF" w:rsidP="008D4334">
      <w:pPr>
        <w:pStyle w:val="Citationparagraph"/>
        <w:numPr>
          <w:ilvl w:val="0"/>
          <w:numId w:val="2"/>
        </w:numPr>
        <w:spacing w:line="240" w:lineRule="auto"/>
      </w:pPr>
      <w:r>
        <w:t xml:space="preserve">Bruneau, M., Chang, S. E., Eguchi, R. T., Lee, G. C., O’Rourke, T. D., </w:t>
      </w:r>
      <w:proofErr w:type="spellStart"/>
      <w:r>
        <w:t>Reinhorn</w:t>
      </w:r>
      <w:proofErr w:type="spellEnd"/>
      <w:r>
        <w:t>, A. M., Shinozuka, M., Tierney, K., Wallace, W. A., &amp; von Winterfeldt, D. (2003). A framework to quantitatively assess and enhance the seismic resilience of communities. Earthquake Spectra, 19(4), 733-752. https://doi.org/10.1193/1.1623497</w:t>
      </w:r>
    </w:p>
    <w:p w14:paraId="32C985E0" w14:textId="77777777" w:rsidR="00EC0EEF" w:rsidRDefault="00EC0EEF" w:rsidP="008D4334">
      <w:pPr>
        <w:pStyle w:val="Citationparagraph"/>
        <w:numPr>
          <w:ilvl w:val="0"/>
          <w:numId w:val="2"/>
        </w:numPr>
        <w:spacing w:line="240" w:lineRule="auto"/>
      </w:pPr>
      <w:proofErr w:type="spellStart"/>
      <w:r>
        <w:lastRenderedPageBreak/>
        <w:t>Hallegatte</w:t>
      </w:r>
      <w:proofErr w:type="spellEnd"/>
      <w:r>
        <w:t xml:space="preserve">, S., Bangalore, M., </w:t>
      </w:r>
      <w:proofErr w:type="spellStart"/>
      <w:r>
        <w:t>Bonzanigo</w:t>
      </w:r>
      <w:proofErr w:type="spellEnd"/>
      <w:r>
        <w:t xml:space="preserve">, L., Fay, M., Kane, T., Narloch, U., Rozenberg, J., </w:t>
      </w:r>
      <w:proofErr w:type="spellStart"/>
      <w:r>
        <w:t>Treguer</w:t>
      </w:r>
      <w:proofErr w:type="spellEnd"/>
      <w:r>
        <w:t>, D., &amp; Vogt-Schilb, A. (2016). Unbreakable: Building the resilience of the poor in the face of natural disasters. World Bank. https://doi.org/10.1596/978-1-4648-1003-9</w:t>
      </w:r>
    </w:p>
    <w:p w14:paraId="7821A223" w14:textId="703CBF6F" w:rsidR="00EC0EEF" w:rsidRDefault="00EC0EEF" w:rsidP="008D4334">
      <w:pPr>
        <w:pStyle w:val="Citationparagraph"/>
        <w:numPr>
          <w:ilvl w:val="0"/>
          <w:numId w:val="2"/>
        </w:numPr>
        <w:spacing w:line="240" w:lineRule="auto"/>
      </w:pPr>
      <w:proofErr w:type="spellStart"/>
      <w:r>
        <w:t>Bündnis</w:t>
      </w:r>
      <w:proofErr w:type="spellEnd"/>
      <w:r>
        <w:t xml:space="preserve"> </w:t>
      </w:r>
      <w:proofErr w:type="spellStart"/>
      <w:r>
        <w:t>Entwicklung</w:t>
      </w:r>
      <w:proofErr w:type="spellEnd"/>
      <w:r>
        <w:t xml:space="preserve"> </w:t>
      </w:r>
      <w:proofErr w:type="spellStart"/>
      <w:r>
        <w:t>Hilft</w:t>
      </w:r>
      <w:proofErr w:type="spellEnd"/>
      <w:r>
        <w:t xml:space="preserve"> &amp; Institute for International Law of Peace and Armed Conflict. (2022). </w:t>
      </w:r>
      <w:proofErr w:type="spellStart"/>
      <w:r>
        <w:t>WorldRiskReport</w:t>
      </w:r>
      <w:proofErr w:type="spellEnd"/>
      <w:r>
        <w:t xml:space="preserve"> 2022. </w:t>
      </w:r>
      <w:proofErr w:type="spellStart"/>
      <w:r>
        <w:t>Bündnis</w:t>
      </w:r>
      <w:proofErr w:type="spellEnd"/>
      <w:r>
        <w:t xml:space="preserve"> </w:t>
      </w:r>
      <w:proofErr w:type="spellStart"/>
      <w:r>
        <w:t>Entwicklung</w:t>
      </w:r>
      <w:proofErr w:type="spellEnd"/>
      <w:r>
        <w:t xml:space="preserve"> </w:t>
      </w:r>
      <w:proofErr w:type="spellStart"/>
      <w:r>
        <w:t>Hilft</w:t>
      </w:r>
      <w:proofErr w:type="spellEnd"/>
      <w:r>
        <w:t xml:space="preserve">. </w:t>
      </w:r>
    </w:p>
    <w:p w14:paraId="3D5608A8" w14:textId="6588F531" w:rsidR="00EC0EEF" w:rsidRDefault="00EC0EEF" w:rsidP="008D4334">
      <w:pPr>
        <w:pStyle w:val="Citationparagraph"/>
        <w:numPr>
          <w:ilvl w:val="0"/>
          <w:numId w:val="2"/>
        </w:numPr>
        <w:spacing w:line="240" w:lineRule="auto"/>
      </w:pPr>
      <w:r>
        <w:t xml:space="preserve">International Displacement Monitoring Centre. (2023). Global Report on Internal Displacement 2023. IDMC. </w:t>
      </w:r>
    </w:p>
    <w:p w14:paraId="2896FD1C" w14:textId="2270BA7A" w:rsidR="00EC0EEF" w:rsidRDefault="00EC0EEF" w:rsidP="008D4334">
      <w:pPr>
        <w:pStyle w:val="Citationparagraph"/>
        <w:numPr>
          <w:ilvl w:val="0"/>
          <w:numId w:val="2"/>
        </w:numPr>
        <w:spacing w:line="240" w:lineRule="auto"/>
      </w:pPr>
      <w:r>
        <w:t xml:space="preserve">International Federation of Red Cross and Red Crescent Societies. (2015). Final evaluation report: Typhoon Bopha/Pablo operation. IFRC. </w:t>
      </w:r>
    </w:p>
    <w:p w14:paraId="4378DA1D" w14:textId="77777777" w:rsidR="00EC0EEF" w:rsidRDefault="00EC0EEF" w:rsidP="008D4334">
      <w:pPr>
        <w:pStyle w:val="Citationparagraph"/>
        <w:numPr>
          <w:ilvl w:val="0"/>
          <w:numId w:val="2"/>
        </w:numPr>
        <w:spacing w:line="240" w:lineRule="auto"/>
      </w:pPr>
      <w:r>
        <w:t>Intergovernmental Panel on Climate Change. (2021). Climate Change 2021: The Physical Science Basis. Cambridge University Press. https://doi.org/10.1017/9781009157896</w:t>
      </w:r>
    </w:p>
    <w:p w14:paraId="0E545431" w14:textId="59AE9BF5" w:rsidR="00EC0EEF" w:rsidRDefault="00EC0EEF" w:rsidP="008D4334">
      <w:pPr>
        <w:pStyle w:val="Citationparagraph"/>
        <w:numPr>
          <w:ilvl w:val="0"/>
          <w:numId w:val="2"/>
        </w:numPr>
        <w:spacing w:line="240" w:lineRule="auto"/>
      </w:pPr>
      <w:r>
        <w:t xml:space="preserve">United Nations Office for Disaster Risk Reduction. (2017). Terminology on disaster risk reduction. UNDRR. </w:t>
      </w:r>
    </w:p>
    <w:p w14:paraId="542EA47B" w14:textId="1AA1E457" w:rsidR="00EC0EEF" w:rsidRDefault="00EC0EEF" w:rsidP="008D4334">
      <w:pPr>
        <w:pStyle w:val="Citationparagraph"/>
        <w:numPr>
          <w:ilvl w:val="0"/>
          <w:numId w:val="2"/>
        </w:numPr>
        <w:spacing w:line="240" w:lineRule="auto"/>
      </w:pPr>
      <w:r>
        <w:t xml:space="preserve">World Bank. (2003). Philippines </w:t>
      </w:r>
      <w:proofErr w:type="gramStart"/>
      <w:r>
        <w:t>environment</w:t>
      </w:r>
      <w:proofErr w:type="gramEnd"/>
      <w:r>
        <w:t xml:space="preserve"> monitor 2003. World Bank. </w:t>
      </w:r>
    </w:p>
    <w:p w14:paraId="5E659990" w14:textId="77777777" w:rsidR="002D2FAE" w:rsidRDefault="002D2FAE" w:rsidP="008D4334">
      <w:pPr>
        <w:pStyle w:val="Citationparagraph"/>
        <w:spacing w:line="240" w:lineRule="auto"/>
        <w:ind w:left="0" w:firstLine="0"/>
        <w:rPr>
          <w:rFonts w:ascii="Arial" w:hAnsi="Arial" w:cs="Arial"/>
        </w:rPr>
      </w:pPr>
    </w:p>
    <w:p w14:paraId="5A355A3E" w14:textId="77777777" w:rsidR="002D2FAE" w:rsidRPr="00DF1384" w:rsidRDefault="002D2FAE" w:rsidP="008D4334">
      <w:pPr>
        <w:pStyle w:val="Citationparagraph"/>
        <w:spacing w:line="240" w:lineRule="auto"/>
        <w:rPr>
          <w:rFonts w:ascii="Arial" w:hAnsi="Arial" w:cs="Arial"/>
        </w:rPr>
      </w:pPr>
    </w:p>
    <w:sectPr w:rsidR="002D2FAE" w:rsidRPr="00DF1384" w:rsidSect="00034616">
      <w:footerReference w:type="default" r:id="rId54"/>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C45F00" w14:textId="77777777" w:rsidR="00231919" w:rsidRDefault="00231919">
      <w:pPr>
        <w:spacing w:after="0" w:line="240" w:lineRule="auto"/>
      </w:pPr>
      <w:r>
        <w:separator/>
      </w:r>
    </w:p>
  </w:endnote>
  <w:endnote w:type="continuationSeparator" w:id="0">
    <w:p w14:paraId="40D4A26F" w14:textId="77777777" w:rsidR="00231919" w:rsidRDefault="00231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9A9AC2" w14:textId="77777777" w:rsidR="00BD7B94" w:rsidRDefault="00BD7B94">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BB2026" w14:textId="77777777" w:rsidR="00231919" w:rsidRDefault="00231919">
      <w:pPr>
        <w:spacing w:after="0" w:line="240" w:lineRule="auto"/>
      </w:pPr>
      <w:r>
        <w:separator/>
      </w:r>
    </w:p>
  </w:footnote>
  <w:footnote w:type="continuationSeparator" w:id="0">
    <w:p w14:paraId="7BCEE722" w14:textId="77777777" w:rsidR="00231919" w:rsidRDefault="002319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CE70A6"/>
    <w:multiLevelType w:val="hybridMultilevel"/>
    <w:tmpl w:val="ADD8CB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A04900"/>
    <w:multiLevelType w:val="hybridMultilevel"/>
    <w:tmpl w:val="95B4C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FD19F2"/>
    <w:multiLevelType w:val="hybridMultilevel"/>
    <w:tmpl w:val="FD9008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4A1691E"/>
    <w:multiLevelType w:val="hybridMultilevel"/>
    <w:tmpl w:val="E86ACBF4"/>
    <w:lvl w:ilvl="0" w:tplc="00B69C88">
      <w:start w:val="1"/>
      <w:numFmt w:val="bullet"/>
      <w:lvlText w:val="§"/>
      <w:lvlJc w:val="left"/>
      <w:pPr>
        <w:tabs>
          <w:tab w:val="num" w:pos="720"/>
        </w:tabs>
        <w:ind w:left="720" w:hanging="360"/>
      </w:pPr>
      <w:rPr>
        <w:rFonts w:ascii="Wingdings" w:hAnsi="Wingdings" w:hint="default"/>
      </w:rPr>
    </w:lvl>
    <w:lvl w:ilvl="1" w:tplc="8DE4EE26">
      <w:start w:val="1"/>
      <w:numFmt w:val="bullet"/>
      <w:lvlText w:val="§"/>
      <w:lvlJc w:val="left"/>
      <w:pPr>
        <w:tabs>
          <w:tab w:val="num" w:pos="1440"/>
        </w:tabs>
        <w:ind w:left="1440" w:hanging="360"/>
      </w:pPr>
      <w:rPr>
        <w:rFonts w:ascii="Wingdings" w:hAnsi="Wingdings" w:hint="default"/>
      </w:rPr>
    </w:lvl>
    <w:lvl w:ilvl="2" w:tplc="D694851C" w:tentative="1">
      <w:start w:val="1"/>
      <w:numFmt w:val="bullet"/>
      <w:lvlText w:val="§"/>
      <w:lvlJc w:val="left"/>
      <w:pPr>
        <w:tabs>
          <w:tab w:val="num" w:pos="2160"/>
        </w:tabs>
        <w:ind w:left="2160" w:hanging="360"/>
      </w:pPr>
      <w:rPr>
        <w:rFonts w:ascii="Wingdings" w:hAnsi="Wingdings" w:hint="default"/>
      </w:rPr>
    </w:lvl>
    <w:lvl w:ilvl="3" w:tplc="2534C7A8" w:tentative="1">
      <w:start w:val="1"/>
      <w:numFmt w:val="bullet"/>
      <w:lvlText w:val="§"/>
      <w:lvlJc w:val="left"/>
      <w:pPr>
        <w:tabs>
          <w:tab w:val="num" w:pos="2880"/>
        </w:tabs>
        <w:ind w:left="2880" w:hanging="360"/>
      </w:pPr>
      <w:rPr>
        <w:rFonts w:ascii="Wingdings" w:hAnsi="Wingdings" w:hint="default"/>
      </w:rPr>
    </w:lvl>
    <w:lvl w:ilvl="4" w:tplc="EC4EF306" w:tentative="1">
      <w:start w:val="1"/>
      <w:numFmt w:val="bullet"/>
      <w:lvlText w:val="§"/>
      <w:lvlJc w:val="left"/>
      <w:pPr>
        <w:tabs>
          <w:tab w:val="num" w:pos="3600"/>
        </w:tabs>
        <w:ind w:left="3600" w:hanging="360"/>
      </w:pPr>
      <w:rPr>
        <w:rFonts w:ascii="Wingdings" w:hAnsi="Wingdings" w:hint="default"/>
      </w:rPr>
    </w:lvl>
    <w:lvl w:ilvl="5" w:tplc="EF9CB1D6" w:tentative="1">
      <w:start w:val="1"/>
      <w:numFmt w:val="bullet"/>
      <w:lvlText w:val="§"/>
      <w:lvlJc w:val="left"/>
      <w:pPr>
        <w:tabs>
          <w:tab w:val="num" w:pos="4320"/>
        </w:tabs>
        <w:ind w:left="4320" w:hanging="360"/>
      </w:pPr>
      <w:rPr>
        <w:rFonts w:ascii="Wingdings" w:hAnsi="Wingdings" w:hint="default"/>
      </w:rPr>
    </w:lvl>
    <w:lvl w:ilvl="6" w:tplc="DAF8EE9E" w:tentative="1">
      <w:start w:val="1"/>
      <w:numFmt w:val="bullet"/>
      <w:lvlText w:val="§"/>
      <w:lvlJc w:val="left"/>
      <w:pPr>
        <w:tabs>
          <w:tab w:val="num" w:pos="5040"/>
        </w:tabs>
        <w:ind w:left="5040" w:hanging="360"/>
      </w:pPr>
      <w:rPr>
        <w:rFonts w:ascii="Wingdings" w:hAnsi="Wingdings" w:hint="default"/>
      </w:rPr>
    </w:lvl>
    <w:lvl w:ilvl="7" w:tplc="B9600BD8" w:tentative="1">
      <w:start w:val="1"/>
      <w:numFmt w:val="bullet"/>
      <w:lvlText w:val="§"/>
      <w:lvlJc w:val="left"/>
      <w:pPr>
        <w:tabs>
          <w:tab w:val="num" w:pos="5760"/>
        </w:tabs>
        <w:ind w:left="5760" w:hanging="360"/>
      </w:pPr>
      <w:rPr>
        <w:rFonts w:ascii="Wingdings" w:hAnsi="Wingdings" w:hint="default"/>
      </w:rPr>
    </w:lvl>
    <w:lvl w:ilvl="8" w:tplc="D17649E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64F6E00"/>
    <w:multiLevelType w:val="hybridMultilevel"/>
    <w:tmpl w:val="CE763D36"/>
    <w:lvl w:ilvl="0" w:tplc="238AA86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692033C"/>
    <w:multiLevelType w:val="hybridMultilevel"/>
    <w:tmpl w:val="74600CD2"/>
    <w:lvl w:ilvl="0" w:tplc="25CA02AC">
      <w:start w:val="1"/>
      <w:numFmt w:val="bullet"/>
      <w:lvlText w:val="§"/>
      <w:lvlJc w:val="left"/>
      <w:pPr>
        <w:tabs>
          <w:tab w:val="num" w:pos="360"/>
        </w:tabs>
        <w:ind w:left="360" w:hanging="360"/>
      </w:pPr>
      <w:rPr>
        <w:rFonts w:ascii="Wingdings" w:hAnsi="Wingdings" w:hint="default"/>
      </w:rPr>
    </w:lvl>
    <w:lvl w:ilvl="1" w:tplc="EA3805E6">
      <w:start w:val="1"/>
      <w:numFmt w:val="bullet"/>
      <w:lvlText w:val="§"/>
      <w:lvlJc w:val="left"/>
      <w:pPr>
        <w:tabs>
          <w:tab w:val="num" w:pos="1080"/>
        </w:tabs>
        <w:ind w:left="1080" w:hanging="360"/>
      </w:pPr>
      <w:rPr>
        <w:rFonts w:ascii="Wingdings" w:hAnsi="Wingdings" w:hint="default"/>
      </w:rPr>
    </w:lvl>
    <w:lvl w:ilvl="2" w:tplc="A5FADA64" w:tentative="1">
      <w:start w:val="1"/>
      <w:numFmt w:val="bullet"/>
      <w:lvlText w:val="§"/>
      <w:lvlJc w:val="left"/>
      <w:pPr>
        <w:tabs>
          <w:tab w:val="num" w:pos="1800"/>
        </w:tabs>
        <w:ind w:left="1800" w:hanging="360"/>
      </w:pPr>
      <w:rPr>
        <w:rFonts w:ascii="Wingdings" w:hAnsi="Wingdings" w:hint="default"/>
      </w:rPr>
    </w:lvl>
    <w:lvl w:ilvl="3" w:tplc="C98C771C" w:tentative="1">
      <w:start w:val="1"/>
      <w:numFmt w:val="bullet"/>
      <w:lvlText w:val="§"/>
      <w:lvlJc w:val="left"/>
      <w:pPr>
        <w:tabs>
          <w:tab w:val="num" w:pos="2520"/>
        </w:tabs>
        <w:ind w:left="2520" w:hanging="360"/>
      </w:pPr>
      <w:rPr>
        <w:rFonts w:ascii="Wingdings" w:hAnsi="Wingdings" w:hint="default"/>
      </w:rPr>
    </w:lvl>
    <w:lvl w:ilvl="4" w:tplc="ED4ACF4C" w:tentative="1">
      <w:start w:val="1"/>
      <w:numFmt w:val="bullet"/>
      <w:lvlText w:val="§"/>
      <w:lvlJc w:val="left"/>
      <w:pPr>
        <w:tabs>
          <w:tab w:val="num" w:pos="3240"/>
        </w:tabs>
        <w:ind w:left="3240" w:hanging="360"/>
      </w:pPr>
      <w:rPr>
        <w:rFonts w:ascii="Wingdings" w:hAnsi="Wingdings" w:hint="default"/>
      </w:rPr>
    </w:lvl>
    <w:lvl w:ilvl="5" w:tplc="2F9CBAC2" w:tentative="1">
      <w:start w:val="1"/>
      <w:numFmt w:val="bullet"/>
      <w:lvlText w:val="§"/>
      <w:lvlJc w:val="left"/>
      <w:pPr>
        <w:tabs>
          <w:tab w:val="num" w:pos="3960"/>
        </w:tabs>
        <w:ind w:left="3960" w:hanging="360"/>
      </w:pPr>
      <w:rPr>
        <w:rFonts w:ascii="Wingdings" w:hAnsi="Wingdings" w:hint="default"/>
      </w:rPr>
    </w:lvl>
    <w:lvl w:ilvl="6" w:tplc="55C854FE" w:tentative="1">
      <w:start w:val="1"/>
      <w:numFmt w:val="bullet"/>
      <w:lvlText w:val="§"/>
      <w:lvlJc w:val="left"/>
      <w:pPr>
        <w:tabs>
          <w:tab w:val="num" w:pos="4680"/>
        </w:tabs>
        <w:ind w:left="4680" w:hanging="360"/>
      </w:pPr>
      <w:rPr>
        <w:rFonts w:ascii="Wingdings" w:hAnsi="Wingdings" w:hint="default"/>
      </w:rPr>
    </w:lvl>
    <w:lvl w:ilvl="7" w:tplc="F91A238C" w:tentative="1">
      <w:start w:val="1"/>
      <w:numFmt w:val="bullet"/>
      <w:lvlText w:val="§"/>
      <w:lvlJc w:val="left"/>
      <w:pPr>
        <w:tabs>
          <w:tab w:val="num" w:pos="5400"/>
        </w:tabs>
        <w:ind w:left="5400" w:hanging="360"/>
      </w:pPr>
      <w:rPr>
        <w:rFonts w:ascii="Wingdings" w:hAnsi="Wingdings" w:hint="default"/>
      </w:rPr>
    </w:lvl>
    <w:lvl w:ilvl="8" w:tplc="04F6AE6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75371732"/>
    <w:multiLevelType w:val="hybridMultilevel"/>
    <w:tmpl w:val="FAD8C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550424"/>
    <w:multiLevelType w:val="hybridMultilevel"/>
    <w:tmpl w:val="D23CCEDA"/>
    <w:lvl w:ilvl="0" w:tplc="8376EDD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34872738">
    <w:abstractNumId w:val="3"/>
  </w:num>
  <w:num w:numId="2" w16cid:durableId="1815489121">
    <w:abstractNumId w:val="9"/>
  </w:num>
  <w:num w:numId="3" w16cid:durableId="231813098">
    <w:abstractNumId w:val="1"/>
  </w:num>
  <w:num w:numId="4" w16cid:durableId="351803059">
    <w:abstractNumId w:val="0"/>
  </w:num>
  <w:num w:numId="5" w16cid:durableId="368071970">
    <w:abstractNumId w:val="6"/>
  </w:num>
  <w:num w:numId="6" w16cid:durableId="405150519">
    <w:abstractNumId w:val="16"/>
  </w:num>
  <w:num w:numId="7" w16cid:durableId="417169111">
    <w:abstractNumId w:val="2"/>
  </w:num>
  <w:num w:numId="8" w16cid:durableId="470559450">
    <w:abstractNumId w:val="5"/>
  </w:num>
  <w:num w:numId="9" w16cid:durableId="724137393">
    <w:abstractNumId w:val="8"/>
  </w:num>
  <w:num w:numId="10" w16cid:durableId="880089062">
    <w:abstractNumId w:val="13"/>
  </w:num>
  <w:num w:numId="11" w16cid:durableId="911813971">
    <w:abstractNumId w:val="4"/>
  </w:num>
  <w:num w:numId="12" w16cid:durableId="935390">
    <w:abstractNumId w:val="7"/>
  </w:num>
  <w:num w:numId="13" w16cid:durableId="661737606">
    <w:abstractNumId w:val="12"/>
  </w:num>
  <w:num w:numId="14" w16cid:durableId="557858700">
    <w:abstractNumId w:val="14"/>
  </w:num>
  <w:num w:numId="15" w16cid:durableId="1035886175">
    <w:abstractNumId w:val="11"/>
  </w:num>
  <w:num w:numId="16" w16cid:durableId="1281376469">
    <w:abstractNumId w:val="15"/>
  </w:num>
  <w:num w:numId="17" w16cid:durableId="114119401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DD"/>
    <w:rsid w:val="00014D1E"/>
    <w:rsid w:val="0002445C"/>
    <w:rsid w:val="00034616"/>
    <w:rsid w:val="000563BD"/>
    <w:rsid w:val="00057BAE"/>
    <w:rsid w:val="0006063C"/>
    <w:rsid w:val="00082BA1"/>
    <w:rsid w:val="00087806"/>
    <w:rsid w:val="00094A6C"/>
    <w:rsid w:val="000C5501"/>
    <w:rsid w:val="000C7E15"/>
    <w:rsid w:val="000E70F3"/>
    <w:rsid w:val="00104EB1"/>
    <w:rsid w:val="0012284C"/>
    <w:rsid w:val="00124C4C"/>
    <w:rsid w:val="00126FE7"/>
    <w:rsid w:val="0014513A"/>
    <w:rsid w:val="00147417"/>
    <w:rsid w:val="0015074B"/>
    <w:rsid w:val="001703E0"/>
    <w:rsid w:val="0017727A"/>
    <w:rsid w:val="00180459"/>
    <w:rsid w:val="001B663F"/>
    <w:rsid w:val="001B71BE"/>
    <w:rsid w:val="001C7087"/>
    <w:rsid w:val="001F2503"/>
    <w:rsid w:val="00200793"/>
    <w:rsid w:val="00203318"/>
    <w:rsid w:val="0021357D"/>
    <w:rsid w:val="00231919"/>
    <w:rsid w:val="00280FF2"/>
    <w:rsid w:val="00295C1E"/>
    <w:rsid w:val="0029639D"/>
    <w:rsid w:val="002A7516"/>
    <w:rsid w:val="002B7094"/>
    <w:rsid w:val="002D2FAE"/>
    <w:rsid w:val="00326F90"/>
    <w:rsid w:val="00341721"/>
    <w:rsid w:val="003815F9"/>
    <w:rsid w:val="00383D1E"/>
    <w:rsid w:val="00404E3E"/>
    <w:rsid w:val="0040602A"/>
    <w:rsid w:val="00413043"/>
    <w:rsid w:val="00456249"/>
    <w:rsid w:val="0045733F"/>
    <w:rsid w:val="00464830"/>
    <w:rsid w:val="004957DD"/>
    <w:rsid w:val="004B2F38"/>
    <w:rsid w:val="004B7619"/>
    <w:rsid w:val="004D5FF4"/>
    <w:rsid w:val="004E5F3C"/>
    <w:rsid w:val="004F17F9"/>
    <w:rsid w:val="005055CB"/>
    <w:rsid w:val="00540A03"/>
    <w:rsid w:val="00546B9E"/>
    <w:rsid w:val="005C582A"/>
    <w:rsid w:val="005D0846"/>
    <w:rsid w:val="005D2726"/>
    <w:rsid w:val="005F4A8D"/>
    <w:rsid w:val="005F5100"/>
    <w:rsid w:val="00605BB6"/>
    <w:rsid w:val="00622D94"/>
    <w:rsid w:val="00661BC5"/>
    <w:rsid w:val="0069034B"/>
    <w:rsid w:val="0069159E"/>
    <w:rsid w:val="006B167A"/>
    <w:rsid w:val="00726987"/>
    <w:rsid w:val="00761328"/>
    <w:rsid w:val="007972E9"/>
    <w:rsid w:val="007B4C71"/>
    <w:rsid w:val="007F1C9F"/>
    <w:rsid w:val="00810462"/>
    <w:rsid w:val="0081046F"/>
    <w:rsid w:val="0081319E"/>
    <w:rsid w:val="00827A3E"/>
    <w:rsid w:val="00842468"/>
    <w:rsid w:val="00856A47"/>
    <w:rsid w:val="00865C99"/>
    <w:rsid w:val="0089160C"/>
    <w:rsid w:val="008B0937"/>
    <w:rsid w:val="008D4334"/>
    <w:rsid w:val="008D7119"/>
    <w:rsid w:val="008D712F"/>
    <w:rsid w:val="00906357"/>
    <w:rsid w:val="00933B9E"/>
    <w:rsid w:val="00941BE6"/>
    <w:rsid w:val="009645B5"/>
    <w:rsid w:val="009813C0"/>
    <w:rsid w:val="00983882"/>
    <w:rsid w:val="00983C64"/>
    <w:rsid w:val="00985108"/>
    <w:rsid w:val="009A7219"/>
    <w:rsid w:val="009D7290"/>
    <w:rsid w:val="009E37BA"/>
    <w:rsid w:val="00A22D71"/>
    <w:rsid w:val="00A41E13"/>
    <w:rsid w:val="00A65DAE"/>
    <w:rsid w:val="00A67549"/>
    <w:rsid w:val="00A7332D"/>
    <w:rsid w:val="00A85290"/>
    <w:rsid w:val="00AA1D8D"/>
    <w:rsid w:val="00AA237C"/>
    <w:rsid w:val="00AB589E"/>
    <w:rsid w:val="00AD1EEE"/>
    <w:rsid w:val="00AD459F"/>
    <w:rsid w:val="00AE1A0C"/>
    <w:rsid w:val="00B13EA7"/>
    <w:rsid w:val="00B27BAA"/>
    <w:rsid w:val="00B314AE"/>
    <w:rsid w:val="00B47730"/>
    <w:rsid w:val="00B7420C"/>
    <w:rsid w:val="00B8005D"/>
    <w:rsid w:val="00BB0A90"/>
    <w:rsid w:val="00BD7B94"/>
    <w:rsid w:val="00BE16ED"/>
    <w:rsid w:val="00BE66B3"/>
    <w:rsid w:val="00C0713D"/>
    <w:rsid w:val="00C07306"/>
    <w:rsid w:val="00C3201B"/>
    <w:rsid w:val="00C7629F"/>
    <w:rsid w:val="00CA68C3"/>
    <w:rsid w:val="00CB0664"/>
    <w:rsid w:val="00CB6BC1"/>
    <w:rsid w:val="00CB7DF5"/>
    <w:rsid w:val="00CC4CE9"/>
    <w:rsid w:val="00CD02BC"/>
    <w:rsid w:val="00CE6C21"/>
    <w:rsid w:val="00CE7CCE"/>
    <w:rsid w:val="00D25326"/>
    <w:rsid w:val="00D74316"/>
    <w:rsid w:val="00D829D7"/>
    <w:rsid w:val="00D8598D"/>
    <w:rsid w:val="00D9109F"/>
    <w:rsid w:val="00D92497"/>
    <w:rsid w:val="00DA1E2D"/>
    <w:rsid w:val="00DB307E"/>
    <w:rsid w:val="00DB4D33"/>
    <w:rsid w:val="00DC5259"/>
    <w:rsid w:val="00DE5A8E"/>
    <w:rsid w:val="00DF1384"/>
    <w:rsid w:val="00E02367"/>
    <w:rsid w:val="00E138A3"/>
    <w:rsid w:val="00E2362E"/>
    <w:rsid w:val="00E4379F"/>
    <w:rsid w:val="00E560EB"/>
    <w:rsid w:val="00E7674C"/>
    <w:rsid w:val="00E83F2B"/>
    <w:rsid w:val="00EB7D2B"/>
    <w:rsid w:val="00EC0EEF"/>
    <w:rsid w:val="00ED1DD0"/>
    <w:rsid w:val="00EE6072"/>
    <w:rsid w:val="00EF373B"/>
    <w:rsid w:val="00F43867"/>
    <w:rsid w:val="00F70C13"/>
    <w:rsid w:val="00F758BD"/>
    <w:rsid w:val="00F77A33"/>
    <w:rsid w:val="00F97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46DF3"/>
  <w14:defaultImageDpi w14:val="300"/>
  <w15:docId w15:val="{D1A63499-E1CC-3045-8633-3B6191DAD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itationparagraph">
    <w:name w:val="Citation paragraph"/>
    <w:basedOn w:val="Normal"/>
    <w:pPr>
      <w:spacing w:after="160"/>
      <w:ind w:left="360" w:hanging="360"/>
    </w:pPr>
    <w:rPr>
      <w:sz w:val="19"/>
    </w:rPr>
  </w:style>
  <w:style w:type="character" w:styleId="Hyperlink">
    <w:name w:val="Hyperlink"/>
    <w:basedOn w:val="DefaultParagraphFont"/>
    <w:uiPriority w:val="99"/>
    <w:unhideWhenUsed/>
    <w:rsid w:val="00057BAE"/>
    <w:rPr>
      <w:color w:val="0000FF" w:themeColor="hyperlink"/>
      <w:u w:val="single"/>
    </w:rPr>
  </w:style>
  <w:style w:type="character" w:styleId="UnresolvedMention">
    <w:name w:val="Unresolved Mention"/>
    <w:basedOn w:val="DefaultParagraphFont"/>
    <w:uiPriority w:val="99"/>
    <w:semiHidden/>
    <w:unhideWhenUsed/>
    <w:rsid w:val="00057BAE"/>
    <w:rPr>
      <w:color w:val="605E5C"/>
      <w:shd w:val="clear" w:color="auto" w:fill="E1DFDD"/>
    </w:rPr>
  </w:style>
  <w:style w:type="character" w:styleId="FollowedHyperlink">
    <w:name w:val="FollowedHyperlink"/>
    <w:basedOn w:val="DefaultParagraphFont"/>
    <w:uiPriority w:val="99"/>
    <w:semiHidden/>
    <w:unhideWhenUsed/>
    <w:rsid w:val="000C7E15"/>
    <w:rPr>
      <w:color w:val="800080" w:themeColor="followedHyperlink"/>
      <w:u w:val="single"/>
    </w:rPr>
  </w:style>
  <w:style w:type="paragraph" w:styleId="NormalWeb">
    <w:name w:val="Normal (Web)"/>
    <w:basedOn w:val="Normal"/>
    <w:uiPriority w:val="99"/>
    <w:semiHidden/>
    <w:unhideWhenUsed/>
    <w:rsid w:val="004F17F9"/>
    <w:pPr>
      <w:spacing w:before="100" w:beforeAutospacing="1" w:afterAutospacing="1" w:line="240" w:lineRule="auto"/>
    </w:pPr>
    <w:rPr>
      <w:rFonts w:cs="Times New Roman"/>
      <w:sz w:val="24"/>
      <w:szCs w:val="24"/>
    </w:rPr>
  </w:style>
  <w:style w:type="character" w:styleId="HTMLCode">
    <w:name w:val="HTML Code"/>
    <w:basedOn w:val="DefaultParagraphFont"/>
    <w:uiPriority w:val="99"/>
    <w:semiHidden/>
    <w:unhideWhenUsed/>
    <w:rsid w:val="00546B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rse.2018.03.017" TargetMode="External"/><Relationship Id="rId18" Type="http://schemas.openxmlformats.org/officeDocument/2006/relationships/hyperlink" Target="https://doi.org/10.48550/arXiv.2109.06913" TargetMode="External"/><Relationship Id="rId26" Type="http://schemas.openxmlformats.org/officeDocument/2006/relationships/hyperlink" Target="https://doi.org/10.1016/j.rse.2025.114869" TargetMode="External"/><Relationship Id="rId39" Type="http://schemas.openxmlformats.org/officeDocument/2006/relationships/hyperlink" Target="https://monitoring-dashboard.ndrrmc.gov.ph/" TargetMode="External"/><Relationship Id="rId21" Type="http://schemas.openxmlformats.org/officeDocument/2006/relationships/hyperlink" Target="https://doi.org/10.1016/j.rse.2023.113818" TargetMode="External"/><Relationship Id="rId34" Type="http://schemas.openxmlformats.org/officeDocument/2006/relationships/hyperlink" Target="https://doi.org/10.1016/j.rse.2021.112834" TargetMode="External"/><Relationship Id="rId42" Type="http://schemas.openxmlformats.org/officeDocument/2006/relationships/hyperlink" Target="https://en.wikipedia.org/wiki/Effects_of_Typhoon_Haiyan_in_the_Philippines" TargetMode="External"/><Relationship Id="rId47" Type="http://schemas.openxmlformats.org/officeDocument/2006/relationships/hyperlink" Target="https://en.wikipedia.org/wiki/Typhoon_Phanfone" TargetMode="External"/><Relationship Id="rId50" Type="http://schemas.openxmlformats.org/officeDocument/2006/relationships/hyperlink" Target="https://en.wikipedia.org/wiki/Typhoon_Rai"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26/sciadv.1701528" TargetMode="External"/><Relationship Id="rId29" Type="http://schemas.openxmlformats.org/officeDocument/2006/relationships/hyperlink" Target="https://doi.org/10.1016/j.pdisas.2026.100552" TargetMode="External"/><Relationship Id="rId11" Type="http://schemas.openxmlformats.org/officeDocument/2006/relationships/hyperlink" Target="https://doi.org/10.1257/aer.102.2.994" TargetMode="External"/><Relationship Id="rId24" Type="http://schemas.openxmlformats.org/officeDocument/2006/relationships/hyperlink" Target="https://doi.org/10.1016/j.rse.2025.114645" TargetMode="External"/><Relationship Id="rId32" Type="http://schemas.openxmlformats.org/officeDocument/2006/relationships/hyperlink" Target="https://doi.org/10.1038/s44284-025-00239-5" TargetMode="External"/><Relationship Id="rId37" Type="http://schemas.openxmlformats.org/officeDocument/2006/relationships/hyperlink" Target="https://www.ncei.noaa.gov/products/international-best-track-archive" TargetMode="External"/><Relationship Id="rId40" Type="http://schemas.openxmlformats.org/officeDocument/2006/relationships/hyperlink" Target="https://reliefweb.int/country/phl" TargetMode="External"/><Relationship Id="rId45" Type="http://schemas.openxmlformats.org/officeDocument/2006/relationships/hyperlink" Target="https://en.wikipedia.org/wiki/Typhoon_Hagupit_(2014)" TargetMode="External"/><Relationship Id="rId53" Type="http://schemas.openxmlformats.org/officeDocument/2006/relationships/hyperlink" Target="https://en.wikipedia.org/wiki/Tropical_Storm_Megi" TargetMode="External"/><Relationship Id="rId5" Type="http://schemas.openxmlformats.org/officeDocument/2006/relationships/webSettings" Target="webSettings.xml"/><Relationship Id="rId10" Type="http://schemas.openxmlformats.org/officeDocument/2006/relationships/hyperlink" Target="https://doi.org/10.1073/pnas.1017031108" TargetMode="External"/><Relationship Id="rId19" Type="http://schemas.openxmlformats.org/officeDocument/2006/relationships/hyperlink" Target="https://doi.org/10.1016/j.jenvman.2021.112776" TargetMode="External"/><Relationship Id="rId31" Type="http://schemas.openxmlformats.org/officeDocument/2006/relationships/hyperlink" Target="https://doi.org/10.1198/jasa.2009.ap08746" TargetMode="External"/><Relationship Id="rId44" Type="http://schemas.openxmlformats.org/officeDocument/2006/relationships/hyperlink" Target="https://en.wikipedia.org/wiki/Typhoon_Hagupit_(2014)" TargetMode="External"/><Relationship Id="rId52" Type="http://schemas.openxmlformats.org/officeDocument/2006/relationships/hyperlink" Target="https://en.wikipedia.org/wiki/Tropical_Storm_Megi" TargetMode="External"/><Relationship Id="rId4" Type="http://schemas.openxmlformats.org/officeDocument/2006/relationships/settings" Target="settings.xml"/><Relationship Id="rId9" Type="http://schemas.openxmlformats.org/officeDocument/2006/relationships/hyperlink" Target="https://doi.org/10.3390/rs11101174" TargetMode="External"/><Relationship Id="rId14" Type="http://schemas.openxmlformats.org/officeDocument/2006/relationships/hyperlink" Target="https://doi.org/10.1371/journal.pone.0218883" TargetMode="External"/><Relationship Id="rId22" Type="http://schemas.openxmlformats.org/officeDocument/2006/relationships/hyperlink" Target="https://doi.org/10.1109/IGARSS53475.2024.10641216" TargetMode="External"/><Relationship Id="rId27" Type="http://schemas.openxmlformats.org/officeDocument/2006/relationships/hyperlink" Target="https://doi.org/10.48550/arXiv.2510.05105" TargetMode="External"/><Relationship Id="rId30" Type="http://schemas.openxmlformats.org/officeDocument/2006/relationships/hyperlink" Target="https://doi.org/10.1080/2150704X.2026.2650396" TargetMode="External"/><Relationship Id="rId35" Type="http://schemas.openxmlformats.org/officeDocument/2006/relationships/hyperlink" Target="https://doi.org/10.1016/j.rse.2022.113269" TargetMode="External"/><Relationship Id="rId43" Type="http://schemas.openxmlformats.org/officeDocument/2006/relationships/hyperlink" Target="https://en.wikipedia.org/wiki/Effects_of_Typhoon_Haiyan_in_the_Philippines" TargetMode="External"/><Relationship Id="rId48" Type="http://schemas.openxmlformats.org/officeDocument/2006/relationships/hyperlink" Target="https://en.wikipedia.org/wiki/Typhoon_Vongfong_(2020)" TargetMode="External"/><Relationship Id="rId56" Type="http://schemas.openxmlformats.org/officeDocument/2006/relationships/theme" Target="theme/theme1.xml"/><Relationship Id="rId8" Type="http://schemas.openxmlformats.org/officeDocument/2006/relationships/hyperlink" Target="https://doi.org/10.3390/rs10111760" TargetMode="External"/><Relationship Id="rId51" Type="http://schemas.openxmlformats.org/officeDocument/2006/relationships/hyperlink" Target="https://en.wikipedia.org/wiki/Typhoon_Rai" TargetMode="External"/><Relationship Id="rId3" Type="http://schemas.openxmlformats.org/officeDocument/2006/relationships/styles" Target="styles.xml"/><Relationship Id="rId12" Type="http://schemas.openxmlformats.org/officeDocument/2006/relationships/hyperlink" Target="https://doi.org/10.1016/j.jue.2015.05.001" TargetMode="External"/><Relationship Id="rId17" Type="http://schemas.openxmlformats.org/officeDocument/2006/relationships/hyperlink" Target="https://doi.org/10.1016/j.rse.2019.111443" TargetMode="External"/><Relationship Id="rId25" Type="http://schemas.openxmlformats.org/officeDocument/2006/relationships/hyperlink" Target="https://doi.org/10.5194/essd-17-5675-2025" TargetMode="External"/><Relationship Id="rId33" Type="http://schemas.openxmlformats.org/officeDocument/2006/relationships/hyperlink" Target="https://doi.org/10.1109/LGRS.2022.3176616" TargetMode="External"/><Relationship Id="rId38" Type="http://schemas.openxmlformats.org/officeDocument/2006/relationships/hyperlink" Target="https://www.pagasa.dost.gov.ph/tropical-cyclone" TargetMode="External"/><Relationship Id="rId46" Type="http://schemas.openxmlformats.org/officeDocument/2006/relationships/hyperlink" Target="https://en.wikipedia.org/wiki/Typhoon_Phanfone" TargetMode="External"/><Relationship Id="rId20" Type="http://schemas.openxmlformats.org/officeDocument/2006/relationships/hyperlink" Target="https://doi.org/10.1016/j.rse.2019.111181" TargetMode="External"/><Relationship Id="rId41" Type="http://schemas.openxmlformats.org/officeDocument/2006/relationships/hyperlink" Target="https://en.wikipedia.org/wiki/Typhoon_Haiyan"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48550/arXiv.1807.05854" TargetMode="External"/><Relationship Id="rId23" Type="http://schemas.openxmlformats.org/officeDocument/2006/relationships/hyperlink" Target="https://doi.org/10.1109/TGRS.2024.3512549" TargetMode="External"/><Relationship Id="rId28" Type="http://schemas.openxmlformats.org/officeDocument/2006/relationships/hyperlink" Target="https://doi.org/10.1016/j.wasec.2026.100205" TargetMode="External"/><Relationship Id="rId36" Type="http://schemas.openxmlformats.org/officeDocument/2006/relationships/hyperlink" Target="https://doi.org/10.1088/2634-4505/ae636d" TargetMode="External"/><Relationship Id="rId49" Type="http://schemas.openxmlformats.org/officeDocument/2006/relationships/hyperlink" Target="https://en.wikipedia.org/wiki/Typhoon_Vongfong_(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172</TotalTime>
  <Pages>40</Pages>
  <Words>24489</Words>
  <Characters>139589</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Rene Jr Principe</cp:lastModifiedBy>
  <cp:revision>141</cp:revision>
  <dcterms:created xsi:type="dcterms:W3CDTF">2026-07-08T07:56:00Z</dcterms:created>
  <dcterms:modified xsi:type="dcterms:W3CDTF">2026-08-04T05:36:00Z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33fe5879467625435be6da27912e504db2175bc8655f859e52831aef980bfbbf</vt:lpwstr>
  </property>
</Properties>
</file>