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CDE7B" w14:textId="77777777" w:rsidR="00D564CF" w:rsidRPr="007812F9" w:rsidRDefault="00D564CF" w:rsidP="00D564CF">
      <w:pPr>
        <w:pStyle w:val="Heading1"/>
        <w:rPr>
          <w:rFonts w:ascii="Arial" w:hAnsi="Arial" w:cs="Arial"/>
          <w:b/>
          <w:bCs/>
          <w:color w:val="000000" w:themeColor="text1"/>
        </w:rPr>
      </w:pPr>
      <w:bookmarkStart w:id="0" w:name="header"/>
      <w:bookmarkStart w:id="1" w:name="X5b8d96e779f9f1775995f7b585fbd42a66de36c"/>
      <w:bookmarkStart w:id="2" w:name="content"/>
      <w:bookmarkStart w:id="3" w:name="citations"/>
      <w:bookmarkEnd w:id="0"/>
      <w:r w:rsidRPr="007812F9">
        <w:rPr>
          <w:rFonts w:ascii="Arial" w:hAnsi="Arial" w:cs="Arial"/>
          <w:b/>
          <w:bCs/>
          <w:color w:val="000000" w:themeColor="text1"/>
        </w:rPr>
        <w:t>Nighttime Lights for Electricity-Mediated Post-Disaster Activity in Tropical Contexts</w:t>
      </w:r>
    </w:p>
    <w:p w14:paraId="39EFB581" w14:textId="77777777" w:rsidR="00D564CF" w:rsidRPr="007812F9" w:rsidRDefault="00D564CF" w:rsidP="00D564CF">
      <w:pPr>
        <w:pStyle w:val="Heading2"/>
        <w:rPr>
          <w:rFonts w:ascii="Arial" w:hAnsi="Arial" w:cs="Arial"/>
          <w:b/>
          <w:bCs/>
          <w:color w:val="0432FF"/>
        </w:rPr>
      </w:pPr>
      <w:bookmarkStart w:id="4" w:name="executive-summary"/>
      <w:r w:rsidRPr="007812F9">
        <w:rPr>
          <w:rFonts w:ascii="Arial" w:hAnsi="Arial" w:cs="Arial"/>
          <w:b/>
          <w:bCs/>
          <w:color w:val="0432FF"/>
        </w:rPr>
        <w:t>Executive summary</w:t>
      </w:r>
    </w:p>
    <w:p w14:paraId="3C12DEC5" w14:textId="2251FD78" w:rsidR="00D564CF" w:rsidRPr="007812F9" w:rsidRDefault="00D564CF" w:rsidP="00D564CF">
      <w:pPr>
        <w:pStyle w:val="FirstParagraph"/>
        <w:rPr>
          <w:rFonts w:ascii="Arial" w:hAnsi="Arial" w:cs="Arial"/>
        </w:rPr>
      </w:pPr>
      <w:r w:rsidRPr="007812F9">
        <w:rPr>
          <w:rFonts w:ascii="Arial" w:hAnsi="Arial" w:cs="Arial"/>
        </w:rPr>
        <w:t>Recent work has established that nightly satellite-observed radiance can detect disaster-related disruption, prolonged electricity outages, and uneven recovery. The strongest peer-reviewed application lineage runs from Puerto Rico after Hurricanes Irma and Maria to newer 2025 studies on global tropical-cyclone power-system recovery and post-hurricane recovery inequality. The strongest methodological lineage runs from NASA’s Black Marble product development to recent work on adaptive forecasting, preprocessing and imputation, temporal instability, and angular anisotropy. Together, these papers show that the field has moved beyond simple pre/post differencing toward time-series recovery metrics, counterfactual baselines, and spatial heterogeneity analysis</w:t>
      </w:r>
      <w:r w:rsidR="00E45E0A" w:rsidRPr="007812F9">
        <w:rPr>
          <w:rFonts w:ascii="Arial" w:hAnsi="Arial" w:cs="Arial"/>
        </w:rPr>
        <w:t xml:space="preserve"> (Roman et al, 2019).</w:t>
      </w:r>
    </w:p>
    <w:p w14:paraId="3AF9124B" w14:textId="732DF8BF" w:rsidR="00D564CF" w:rsidRPr="007812F9" w:rsidRDefault="00D564CF" w:rsidP="00D564CF">
      <w:pPr>
        <w:pStyle w:val="BodyText"/>
        <w:rPr>
          <w:rFonts w:ascii="Arial" w:hAnsi="Arial" w:cs="Arial"/>
        </w:rPr>
      </w:pPr>
      <w:r w:rsidRPr="007812F9">
        <w:rPr>
          <w:rFonts w:ascii="Arial" w:hAnsi="Arial" w:cs="Arial"/>
        </w:rPr>
        <w:t>The application literature remains geographically narrow. Puerto Rico and U.S. hurricane cases dominate the peer-reviewed record;</w:t>
      </w:r>
      <w:r w:rsidR="00E45E0A" w:rsidRPr="007812F9">
        <w:rPr>
          <w:rFonts w:ascii="Arial" w:hAnsi="Arial" w:cs="Arial"/>
        </w:rPr>
        <w:t xml:space="preserve"> </w:t>
      </w:r>
      <w:r w:rsidRPr="007812F9">
        <w:rPr>
          <w:rFonts w:ascii="Arial" w:hAnsi="Arial" w:cs="Arial"/>
        </w:rPr>
        <w:t>Tropical-cyclone relevance is therefore present, but the Philippine context remains under-occupied in the formal literature. That absence matters because humid tropical settings create a more difficult observation environment: persistent cloud, variable valid-pixel support, settlement heterogeneity, and potentially strong sensitivity to viewing geometry and product choice. Román et al. (2019) and Zhao et al. (2018) already showed that cloud masking materially constrains disaster inference, while later methodological work makes clear that low-light variability, preprocessing choices, and anisotropy can all distort apparent change if not treated explicitly.</w:t>
      </w:r>
    </w:p>
    <w:p w14:paraId="003FA237" w14:textId="0AB35425" w:rsidR="00D564CF" w:rsidRPr="007812F9" w:rsidRDefault="00D564CF" w:rsidP="00D564CF">
      <w:pPr>
        <w:pStyle w:val="BodyText"/>
        <w:rPr>
          <w:rFonts w:ascii="Arial" w:hAnsi="Arial" w:cs="Arial"/>
        </w:rPr>
      </w:pPr>
      <w:r w:rsidRPr="007812F9">
        <w:rPr>
          <w:rFonts w:ascii="Arial" w:hAnsi="Arial" w:cs="Arial"/>
        </w:rPr>
        <w:t>A defensible RQ2 therefore does not lie in the generic claim that “NTL can be used for disaster recovery.” That has already been shown. The remaining novelty lies in an observability-first framework for cloud-impacted tropical regions: recovery should be estimated only after the record has been screened for adequate valid-observation density, acceptable viewing geometry, stable pre-event behaviour, and external consistency with electricity-system information. In practical terms, that means prioritising non-gap-filled Black Marble radiance as the primary signal, using gap-filled layers only diagnostically, stratifying by GHSL settlement morphology, and validating daily or weekly anomalies against NGCP load or related grid indicators where available.</w:t>
      </w:r>
    </w:p>
    <w:p w14:paraId="243EB8BA" w14:textId="1EE0D705" w:rsidR="00D564CF" w:rsidRPr="007812F9" w:rsidRDefault="00D564CF" w:rsidP="00D564CF">
      <w:pPr>
        <w:pStyle w:val="BodyText"/>
        <w:rPr>
          <w:rFonts w:ascii="Arial" w:hAnsi="Arial" w:cs="Arial"/>
        </w:rPr>
      </w:pPr>
      <w:r w:rsidRPr="007812F9">
        <w:rPr>
          <w:rFonts w:ascii="Arial" w:hAnsi="Arial" w:cs="Arial"/>
        </w:rPr>
        <w:t>The literature reviewed below supports four main propositions. First, daily NTL can indeed track electricity-mediated disruption and restoration. Second, observability is not a trivial preprocessing issue but a substantive part of inference. Third, VZA and anisotropy remain insufficiently handled in most disaster applications. Fourth, settlement context and external validation are decisive in separating interpretable recovery from artefact. Those propositions define the methodological space in which RQ2 remains novel and defensible.</w:t>
      </w:r>
    </w:p>
    <w:p w14:paraId="7E124968" w14:textId="15006CD0" w:rsidR="009E34A9" w:rsidRPr="007812F9" w:rsidRDefault="00D302A8" w:rsidP="009E34A9">
      <w:pPr>
        <w:pStyle w:val="Heading1"/>
        <w:rPr>
          <w:rStyle w:val="Emphasis"/>
          <w:rFonts w:ascii="Arial" w:hAnsi="Arial" w:cs="Arial"/>
          <w:b/>
          <w:bCs/>
          <w:i w:val="0"/>
          <w:iCs w:val="0"/>
          <w:color w:val="0432FF"/>
        </w:rPr>
      </w:pPr>
      <w:bookmarkStart w:id="5" w:name="Xbfaed84748907ee20b930956b60db3af67c4dff"/>
      <w:bookmarkStart w:id="6" w:name="Xfc0087a057f458253534cf25c5a2d3afa9c6fdf"/>
      <w:bookmarkEnd w:id="4"/>
      <w:r w:rsidRPr="007812F9">
        <w:rPr>
          <w:rStyle w:val="Emphasis"/>
          <w:rFonts w:ascii="Arial" w:hAnsi="Arial" w:cs="Arial"/>
          <w:b/>
          <w:bCs/>
          <w:i w:val="0"/>
          <w:iCs w:val="0"/>
          <w:color w:val="0432FF"/>
        </w:rPr>
        <w:lastRenderedPageBreak/>
        <w:t>Relevant studies for e</w:t>
      </w:r>
      <w:r w:rsidR="009E34A9" w:rsidRPr="007812F9">
        <w:rPr>
          <w:rStyle w:val="Emphasis"/>
          <w:rFonts w:ascii="Arial" w:hAnsi="Arial" w:cs="Arial"/>
          <w:b/>
          <w:bCs/>
          <w:i w:val="0"/>
          <w:iCs w:val="0"/>
          <w:color w:val="0432FF"/>
        </w:rPr>
        <w:t>lectricity-mediated disaster use</w:t>
      </w:r>
    </w:p>
    <w:p w14:paraId="1E971704" w14:textId="411E03AA" w:rsidR="009E34A9" w:rsidRPr="007812F9" w:rsidRDefault="009E34A9" w:rsidP="009E34A9">
      <w:pPr>
        <w:pStyle w:val="Heading2"/>
        <w:rPr>
          <w:rFonts w:ascii="Arial" w:hAnsi="Arial" w:cs="Arial"/>
          <w:b/>
          <w:bCs/>
          <w:color w:val="0432FF"/>
          <w:sz w:val="28"/>
          <w:szCs w:val="28"/>
        </w:rPr>
      </w:pPr>
      <w:r w:rsidRPr="007812F9">
        <w:rPr>
          <w:rFonts w:ascii="Arial" w:hAnsi="Arial" w:cs="Arial"/>
          <w:b/>
          <w:bCs/>
          <w:color w:val="0432FF"/>
          <w:sz w:val="28"/>
          <w:szCs w:val="28"/>
        </w:rPr>
        <w:t>I. Román et al. —</w:t>
      </w:r>
      <w:r w:rsidRPr="007812F9">
        <w:rPr>
          <w:rStyle w:val="apple-converted-space"/>
          <w:rFonts w:ascii="Arial" w:hAnsi="Arial" w:cs="Arial"/>
          <w:b/>
          <w:bCs/>
          <w:color w:val="0432FF"/>
          <w:sz w:val="28"/>
          <w:szCs w:val="28"/>
        </w:rPr>
        <w:t> </w:t>
      </w:r>
      <w:r w:rsidRPr="007812F9">
        <w:rPr>
          <w:rStyle w:val="Emphasis"/>
          <w:rFonts w:ascii="Arial" w:hAnsi="Arial" w:cs="Arial"/>
          <w:b/>
          <w:bCs/>
          <w:color w:val="0432FF"/>
          <w:sz w:val="28"/>
          <w:szCs w:val="28"/>
        </w:rPr>
        <w:t>Satellite-based assessment of electricity restoration efforts in Puerto Rico after Hurricane Maria</w:t>
      </w:r>
    </w:p>
    <w:p w14:paraId="255AAE13"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Román et al. (2019) established the clearest foundational model for using daily Black Marble NTL to estimate electricity restoration after a major hurricane. The study focused on Puerto Rico after Hurricane Maria and used 195 days of daily NASA Black Marble VNP46 observations from landfall on 20 September 2017 to 20 March 2018. The analysis estimated power restoration across districts, municipalities, and barrios, then linked outage metrics to demographic and structural variables from the American Community Survey.</w:t>
      </w:r>
    </w:p>
    <w:p w14:paraId="22D4DC88"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The study used the 500 m Black Marble product and generated a 30 m Black Marble HD layer by downscaling nighttime observations with Landsat 8, Sentinel-2, NDVI, NDWI, and OpenStreetMap road information. Three electricity-related metrics were defined: relative NTL recovery, Net Days Without Electricity (NDWE), and Customer Hours of Interruption (CHI). NDWE and CHI were calculated from the proportional deficit between post-disaster NTL and pre-hurricane NTL, then aggregated across three recovery stages. This makes Román et al. (2019) directly relevant to electricity-mediated recovery because the outcome is not only brightness loss but duration and population-weighted interruption.</w:t>
      </w:r>
    </w:p>
    <w:p w14:paraId="5B1D07C6"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study is methodologically strong in its treatment of product quality. It explicitly notes that </w:t>
      </w:r>
      <w:r w:rsidRPr="007812F9">
        <w:rPr>
          <w:rFonts w:ascii="Arial" w:hAnsi="Arial" w:cs="Arial"/>
          <w:b/>
          <w:bCs/>
          <w:color w:val="000000"/>
        </w:rPr>
        <w:t>outage metrics should only be estimated after accounting for uncertainty and measurement error in the VIIRS DNB time series</w:t>
      </w:r>
      <w:r w:rsidRPr="007812F9">
        <w:rPr>
          <w:rFonts w:ascii="Arial" w:hAnsi="Arial" w:cs="Arial"/>
          <w:color w:val="000000"/>
        </w:rPr>
        <w:t xml:space="preserve">. It uses multi-date aggregation over four days to reduce omission errors associated with cloud-mask limitations, and it emphasizes the importance </w:t>
      </w:r>
      <w:r w:rsidRPr="007812F9">
        <w:rPr>
          <w:rFonts w:ascii="Arial" w:hAnsi="Arial" w:cs="Arial"/>
          <w:b/>
          <w:bCs/>
          <w:color w:val="000000"/>
        </w:rPr>
        <w:t>of atmospheric and lunar BRDF corrections because these can alter daily radiance and therefore the estimated timing and duration of outages</w:t>
      </w:r>
      <w:r w:rsidRPr="007812F9">
        <w:rPr>
          <w:rFonts w:ascii="Arial" w:hAnsi="Arial" w:cs="Arial"/>
          <w:color w:val="000000"/>
        </w:rPr>
        <w:t>. Validation is also unusually strong: satellite-derived restoration was compared against PREPA official records, showing agreement with official total electricity generation restoration trends (R = 0.839, p &lt; 0.0001, n = 195 days), with an average difference of 17.9% across the evaluation period.</w:t>
      </w:r>
    </w:p>
    <w:p w14:paraId="03C023E1"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main result was an approximately 80% decrease in total lights immediately after Hurricane Maria, with an estimated 3.9 billion customer-hours of electricity service lost. Recovery was slower in rural municipalities, remote areas, and lower-density urban neighborhoods. The study also shows that NTL recovery is not equivalent to full electricity-system recovery: </w:t>
      </w:r>
      <w:r w:rsidRPr="007812F9">
        <w:rPr>
          <w:rFonts w:ascii="Arial" w:hAnsi="Arial" w:cs="Arial"/>
          <w:b/>
          <w:bCs/>
          <w:color w:val="000000"/>
        </w:rPr>
        <w:t>NTL can diverge from utility reports when electricity is available during the day but not at night, when generators or rolling brownouts affect lighting, or when street lighting lags behind restoration of hospitals, schools, and commercial electricity.</w:t>
      </w:r>
    </w:p>
    <w:p w14:paraId="4821A2AB" w14:textId="266AAFB1" w:rsidR="009E34A9" w:rsidRPr="007812F9" w:rsidRDefault="009E34A9" w:rsidP="009E34A9">
      <w:pPr>
        <w:pStyle w:val="NormalWeb"/>
        <w:rPr>
          <w:rFonts w:ascii="Arial" w:hAnsi="Arial" w:cs="Arial"/>
          <w:color w:val="000000"/>
        </w:rPr>
      </w:pPr>
      <w:r w:rsidRPr="007812F9">
        <w:rPr>
          <w:rFonts w:ascii="Arial" w:hAnsi="Arial" w:cs="Arial"/>
          <w:color w:val="000000"/>
        </w:rPr>
        <w:lastRenderedPageBreak/>
        <w:t xml:space="preserve">For RQ2, Román et al. (2019) provides the strongest precedent for translating Black Marble NTL into outage duration metrics. Its limitation is that observability is handled mainly through product correction, cloud-mask validation, and aggregation. </w:t>
      </w:r>
      <w:r w:rsidRPr="007812F9">
        <w:rPr>
          <w:rFonts w:ascii="Arial" w:hAnsi="Arial" w:cs="Arial"/>
          <w:b/>
          <w:bCs/>
          <w:color w:val="000000"/>
        </w:rPr>
        <w:t>It does not formalize valid-observation density as an independent condition</w:t>
      </w:r>
      <w:r w:rsidRPr="007812F9">
        <w:rPr>
          <w:rFonts w:ascii="Arial" w:hAnsi="Arial" w:cs="Arial"/>
          <w:color w:val="000000"/>
        </w:rPr>
        <w:t xml:space="preserve"> for whether recovery metrics are admissible. It also does not explicitly model VZA or anisotropy beyond the Black Marble correction framework. The methodological opening is therefore not to repeat NDWE-style outage estimation, but to test when such metrics remain interpretable under persistent tropical cloud gaps and low valid-pixel support.</w:t>
      </w:r>
    </w:p>
    <w:p w14:paraId="4D6A5B27" w14:textId="11DCA624" w:rsidR="009E34A9" w:rsidRPr="007812F9" w:rsidRDefault="009E34A9" w:rsidP="009E34A9">
      <w:pPr>
        <w:pStyle w:val="Heading2"/>
        <w:rPr>
          <w:rFonts w:ascii="Arial" w:hAnsi="Arial" w:cs="Arial"/>
          <w:b/>
          <w:bCs/>
          <w:color w:val="0432FF"/>
          <w:sz w:val="28"/>
          <w:szCs w:val="28"/>
        </w:rPr>
      </w:pPr>
      <w:r w:rsidRPr="007812F9">
        <w:rPr>
          <w:rFonts w:ascii="Arial" w:hAnsi="Arial" w:cs="Arial"/>
          <w:b/>
          <w:bCs/>
          <w:color w:val="0432FF"/>
          <w:sz w:val="28"/>
          <w:szCs w:val="28"/>
        </w:rPr>
        <w:t>II. Zhao et al. —</w:t>
      </w:r>
      <w:r w:rsidRPr="007812F9">
        <w:rPr>
          <w:rStyle w:val="apple-converted-space"/>
          <w:rFonts w:ascii="Arial" w:hAnsi="Arial" w:cs="Arial"/>
          <w:b/>
          <w:bCs/>
          <w:color w:val="0432FF"/>
          <w:sz w:val="28"/>
          <w:szCs w:val="28"/>
        </w:rPr>
        <w:t> </w:t>
      </w:r>
      <w:r w:rsidRPr="007812F9">
        <w:rPr>
          <w:rStyle w:val="Emphasis"/>
          <w:rFonts w:ascii="Arial" w:hAnsi="Arial" w:cs="Arial"/>
          <w:b/>
          <w:bCs/>
          <w:color w:val="0432FF"/>
          <w:sz w:val="28"/>
          <w:szCs w:val="28"/>
        </w:rPr>
        <w:t>Time series analysis of VIIRS-DNB nighttime lights imagery for change detection in urban areas: A case study of devastation in Puerto Rico from hurricanes Irma and Maria</w:t>
      </w:r>
    </w:p>
    <w:p w14:paraId="0437C9A1"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Zhao et al. (2020) used VIIRS-DNB monthly nighttime lights composites to detect hurricane-related urban change in Puerto Rico after Hurricanes Irma and Maria. Unlike Román et al. (2019), the study did not use daily Black Marble for electricity restoration. Its contribution is methodological: it demonstrates how time-series decomposition can separate seasonal variation from apparent disaster-driven NTL change.</w:t>
      </w:r>
    </w:p>
    <w:p w14:paraId="6B3ECC86"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study used NOAA/NCEI version 1 VIIRS-DNB monthly composites from January 2015 to December 2017 at approximately 500 m resolution. These composites are produced from available cloud-free VIIRS-DNB observations within each month. The paper argues that direct comparison of monthly radiance is unreliable because </w:t>
      </w:r>
      <w:r w:rsidRPr="007812F9">
        <w:rPr>
          <w:rFonts w:ascii="Arial" w:hAnsi="Arial" w:cs="Arial"/>
          <w:b/>
          <w:bCs/>
          <w:color w:val="000000"/>
        </w:rPr>
        <w:t>VIIRS-DNB radiance still exhibits seasonality caused by land-surface albedo, atmospheric conditions, blooming, and other uncontrolled effects</w:t>
      </w:r>
      <w:r w:rsidRPr="007812F9">
        <w:rPr>
          <w:rFonts w:ascii="Arial" w:hAnsi="Arial" w:cs="Arial"/>
          <w:color w:val="000000"/>
        </w:rPr>
        <w:t>. To address this, Zhao et al. (2020) applied Seasonal and Trend decomposition using Loess (STL), decomposing each pixel time series into trend, seasonality, and remainder. A random-walk-with-drift model was then used to forecast expected radiance with 80% and 95% confidence intervals. Observed monthly NTL was compared against the forecast interval to identify statistically significant decreases or increases.</w:t>
      </w:r>
    </w:p>
    <w:p w14:paraId="633922DE"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The validation strategy used 23 damage-photo locations from the Hurricane Maria Photo Map, selected where severe damage to settlements made a post-disaster decline in nighttime lights plausible. The method detected significant NTL decreases at the 95% confidence level for 18 of 23 validation pixels and at the 80% confidence level for three additional pixels. One pixel was treated as undeveloped because its original radiance was below the 3 nW cm</w:t>
      </w:r>
      <w:r w:rsidRPr="007812F9">
        <w:rPr>
          <w:rFonts w:ascii="Cambria Math" w:hAnsi="Cambria Math" w:cs="Cambria Math"/>
          <w:color w:val="000000"/>
        </w:rPr>
        <w:t>⁻</w:t>
      </w:r>
      <w:r w:rsidRPr="007812F9">
        <w:rPr>
          <w:rFonts w:ascii="Arial" w:hAnsi="Arial" w:cs="Arial"/>
          <w:color w:val="000000"/>
        </w:rPr>
        <w:t>² sr</w:t>
      </w:r>
      <w:r w:rsidRPr="007812F9">
        <w:rPr>
          <w:rFonts w:ascii="Cambria Math" w:hAnsi="Cambria Math" w:cs="Cambria Math"/>
          <w:color w:val="000000"/>
        </w:rPr>
        <w:t>⁻</w:t>
      </w:r>
      <w:r w:rsidRPr="007812F9">
        <w:rPr>
          <w:rFonts w:ascii="Arial" w:hAnsi="Arial" w:cs="Arial"/>
          <w:color w:val="000000"/>
        </w:rPr>
        <w:t xml:space="preserve">¹ threshold. Zhao et al. (2020) also compared the method against BFAST and found that </w:t>
      </w:r>
      <w:r w:rsidRPr="007812F9">
        <w:rPr>
          <w:rFonts w:ascii="Arial" w:hAnsi="Arial" w:cs="Arial"/>
          <w:b/>
          <w:bCs/>
          <w:color w:val="000000"/>
        </w:rPr>
        <w:t>BFAST did not detect September 2017 breakpoints</w:t>
      </w:r>
      <w:r w:rsidRPr="007812F9">
        <w:rPr>
          <w:rFonts w:ascii="Arial" w:hAnsi="Arial" w:cs="Arial"/>
          <w:color w:val="000000"/>
        </w:rPr>
        <w:t xml:space="preserve"> at the validation pixels, reinforcing the usefulness of event-targeted forecast comparison.</w:t>
      </w:r>
    </w:p>
    <w:p w14:paraId="21FB97F6"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study is useful for RQ2 because it shows that </w:t>
      </w:r>
      <w:r w:rsidRPr="007812F9">
        <w:rPr>
          <w:rFonts w:ascii="Arial" w:hAnsi="Arial" w:cs="Arial"/>
          <w:b/>
          <w:bCs/>
          <w:color w:val="000000"/>
        </w:rPr>
        <w:t>baseline modelling and confidence intervals can prevent false disaster interpretation from seasonal or noisy NTL variability</w:t>
      </w:r>
      <w:r w:rsidRPr="007812F9">
        <w:rPr>
          <w:rFonts w:ascii="Arial" w:hAnsi="Arial" w:cs="Arial"/>
          <w:color w:val="000000"/>
        </w:rPr>
        <w:t xml:space="preserve">. However, it is less directly aligned with daily electricity-mediated recovery. It uses monthly composites rather than daily observations, does not use Black Marble VNP46A2 layers, does not compute outage duration or electricity-restoration metrics, and does not explicitly treat observability, VZA, anisotropy, or BRDF correction as </w:t>
      </w:r>
      <w:r w:rsidRPr="007812F9">
        <w:rPr>
          <w:rFonts w:ascii="Arial" w:hAnsi="Arial" w:cs="Arial"/>
          <w:color w:val="000000"/>
        </w:rPr>
        <w:lastRenderedPageBreak/>
        <w:t>analytic variables. Cloud effects are indirectly handled through monthly cloud-free compositing, but this removes rather than studies the daily observability problem.</w:t>
      </w:r>
    </w:p>
    <w:p w14:paraId="6E032A18" w14:textId="10527C56" w:rsidR="009E34A9" w:rsidRPr="007812F9" w:rsidRDefault="009E34A9" w:rsidP="009E34A9">
      <w:pPr>
        <w:pStyle w:val="NormalWeb"/>
        <w:rPr>
          <w:rFonts w:ascii="Arial" w:hAnsi="Arial" w:cs="Arial"/>
          <w:color w:val="000000"/>
        </w:rPr>
      </w:pPr>
      <w:r w:rsidRPr="007812F9">
        <w:rPr>
          <w:rFonts w:ascii="Arial" w:hAnsi="Arial" w:cs="Arial"/>
          <w:color w:val="000000"/>
        </w:rPr>
        <w:t xml:space="preserve">For RQ2, Zhao et al. (2020) is best treated as a </w:t>
      </w:r>
      <w:r w:rsidRPr="007812F9">
        <w:rPr>
          <w:rFonts w:ascii="Arial" w:hAnsi="Arial" w:cs="Arial"/>
          <w:b/>
          <w:bCs/>
          <w:color w:val="000000"/>
        </w:rPr>
        <w:t>statistical-change-detection precedent</w:t>
      </w:r>
      <w:r w:rsidRPr="007812F9">
        <w:rPr>
          <w:rFonts w:ascii="Arial" w:hAnsi="Arial" w:cs="Arial"/>
          <w:color w:val="000000"/>
        </w:rPr>
        <w:t>, not as an electricity-restoration model. Its transferable element is the use of expected NTL with confidence bounds. Its limitation is that monthly compositing cannot distinguish a true absence of light from a lack of usable daily observations during a storm-affected period.</w:t>
      </w:r>
    </w:p>
    <w:p w14:paraId="0A72D335" w14:textId="2AD18C6D" w:rsidR="009E34A9" w:rsidRPr="007812F9" w:rsidRDefault="009E34A9" w:rsidP="009E34A9">
      <w:pPr>
        <w:pStyle w:val="Heading2"/>
        <w:rPr>
          <w:rFonts w:ascii="Arial" w:hAnsi="Arial" w:cs="Arial"/>
          <w:b/>
          <w:bCs/>
          <w:color w:val="0432FF"/>
          <w:sz w:val="28"/>
          <w:szCs w:val="28"/>
        </w:rPr>
      </w:pPr>
      <w:r w:rsidRPr="007812F9">
        <w:rPr>
          <w:rFonts w:ascii="Arial" w:hAnsi="Arial" w:cs="Arial"/>
          <w:b/>
          <w:bCs/>
          <w:color w:val="0432FF"/>
          <w:sz w:val="28"/>
          <w:szCs w:val="28"/>
        </w:rPr>
        <w:t>III. Mo et al. —</w:t>
      </w:r>
      <w:r w:rsidRPr="007812F9">
        <w:rPr>
          <w:rStyle w:val="apple-converted-space"/>
          <w:rFonts w:ascii="Arial" w:hAnsi="Arial" w:cs="Arial"/>
          <w:b/>
          <w:bCs/>
          <w:color w:val="0432FF"/>
          <w:sz w:val="28"/>
          <w:szCs w:val="28"/>
        </w:rPr>
        <w:t> </w:t>
      </w:r>
      <w:r w:rsidRPr="007812F9">
        <w:rPr>
          <w:rStyle w:val="Emphasis"/>
          <w:rFonts w:ascii="Arial" w:hAnsi="Arial" w:cs="Arial"/>
          <w:b/>
          <w:bCs/>
          <w:color w:val="0432FF"/>
          <w:sz w:val="28"/>
          <w:szCs w:val="28"/>
        </w:rPr>
        <w:t>Daily night-time lights reveal prolonging global electric power system recovery times following tropical cyclone damage</w:t>
      </w:r>
    </w:p>
    <w:p w14:paraId="721D4EB9"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Mo et al. (2025) substantially updates the field by moving from single-event outage studies to a global empirical assessment of tropical-cyclone-related electric power system recovery. The study examined 396 storms across 66 countries from 2012 to 2021 using daily Black Marble VNP46A2 nighttime lights and IBTrACS cyclone tracks. Urban clusters were defined using GHSL, grouped into high-density clusters, low-density clusters, and rural clusters.</w:t>
      </w:r>
    </w:p>
    <w:p w14:paraId="6962116E"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study estimated blackout duration from daily NTL. For each storm, a 400 km storm-track corridor was defined, and GHSL urban clusters within that corridor were analyzed. Blackout detection was performed on the spatial mean NTL brightness of each cluster. </w:t>
      </w:r>
      <w:r w:rsidRPr="007812F9">
        <w:rPr>
          <w:rFonts w:ascii="Arial" w:hAnsi="Arial" w:cs="Arial"/>
          <w:b/>
          <w:bCs/>
          <w:color w:val="000000"/>
        </w:rPr>
        <w:t>Only high-quality measurements were retained when more than half of the pixels in a cluster showed persistent NTL</w:t>
      </w:r>
      <w:r w:rsidRPr="007812F9">
        <w:rPr>
          <w:rFonts w:ascii="Arial" w:hAnsi="Arial" w:cs="Arial"/>
          <w:color w:val="000000"/>
        </w:rPr>
        <w:t xml:space="preserve"> according to the Black Marble VNP46A2 quality layer. </w:t>
      </w:r>
      <w:r w:rsidRPr="007812F9">
        <w:rPr>
          <w:rFonts w:ascii="Arial" w:hAnsi="Arial" w:cs="Arial"/>
          <w:b/>
          <w:bCs/>
          <w:color w:val="000000"/>
        </w:rPr>
        <w:t>Cluster-specific baselines were constructed from three months before the storm</w:t>
      </w:r>
      <w:r w:rsidRPr="007812F9">
        <w:rPr>
          <w:rFonts w:ascii="Arial" w:hAnsi="Arial" w:cs="Arial"/>
          <w:color w:val="000000"/>
        </w:rPr>
        <w:t xml:space="preserve">, and blackout observations were defined as </w:t>
      </w:r>
      <w:r w:rsidRPr="007812F9">
        <w:rPr>
          <w:rFonts w:ascii="Arial" w:hAnsi="Arial" w:cs="Arial"/>
          <w:b/>
          <w:bCs/>
          <w:color w:val="000000"/>
        </w:rPr>
        <w:t>statistically lower than baseline using a one-tailed test</w:t>
      </w:r>
      <w:r w:rsidRPr="007812F9">
        <w:rPr>
          <w:rFonts w:ascii="Arial" w:hAnsi="Arial" w:cs="Arial"/>
          <w:color w:val="000000"/>
        </w:rPr>
        <w:t xml:space="preserve"> at p = 0.05. Blackout duration was measured from storm passage until two consecutive days returned to baseline conditions.</w:t>
      </w:r>
    </w:p>
    <w:p w14:paraId="72439D52"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Mo et al. (2025) is especially important because it explicitly discusses uncertainty sources in daily Black Marble recovery analysis. The paper identifies </w:t>
      </w:r>
      <w:r w:rsidRPr="007812F9">
        <w:rPr>
          <w:rFonts w:ascii="Arial" w:hAnsi="Arial" w:cs="Arial"/>
          <w:b/>
          <w:bCs/>
          <w:color w:val="000000"/>
        </w:rPr>
        <w:t>geometric error from spatial observation mismatch and angular error from view-angle variation</w:t>
      </w:r>
      <w:r w:rsidRPr="007812F9">
        <w:rPr>
          <w:rFonts w:ascii="Arial" w:hAnsi="Arial" w:cs="Arial"/>
          <w:color w:val="000000"/>
        </w:rPr>
        <w:t xml:space="preserve">. </w:t>
      </w:r>
      <w:r w:rsidRPr="007812F9">
        <w:rPr>
          <w:rFonts w:ascii="Arial" w:hAnsi="Arial" w:cs="Arial"/>
          <w:b/>
          <w:bCs/>
          <w:color w:val="000000"/>
        </w:rPr>
        <w:t>Spatial averaging over clusters is used to reduce geometric error</w:t>
      </w:r>
      <w:r w:rsidRPr="007812F9">
        <w:rPr>
          <w:rFonts w:ascii="Arial" w:hAnsi="Arial" w:cs="Arial"/>
          <w:color w:val="000000"/>
        </w:rPr>
        <w:t xml:space="preserve">, while the three-month baseline is used to account for periodic view-angle changes. Cloud-driven missingness is handled with a </w:t>
      </w:r>
      <w:r w:rsidRPr="007812F9">
        <w:rPr>
          <w:rFonts w:ascii="Arial" w:hAnsi="Arial" w:cs="Arial"/>
          <w:b/>
          <w:bCs/>
          <w:color w:val="000000"/>
        </w:rPr>
        <w:t>“next-available” gap-filling strategy</w:t>
      </w:r>
      <w:r w:rsidRPr="007812F9">
        <w:rPr>
          <w:rFonts w:ascii="Arial" w:hAnsi="Arial" w:cs="Arial"/>
          <w:color w:val="000000"/>
        </w:rPr>
        <w:t>: missing daily values are assigned based on the next available high-quality observation, and uncertainty in blackout duration is estimated using a beta distribution. Lower- and upper-bound blackout durations are also computed by excluding or including missing data within recovery duration estimates.</w:t>
      </w:r>
    </w:p>
    <w:p w14:paraId="26F7565D"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Validation was performed against PowerOutage.US data from 2017 to 2021. The study matched 134 storm-county pairs across 19 storms and obtained r² = 0.71 between NTL-derived blackout durations and utility-recorded outages. Boundary-condition estimates also remained correlated with POUS records, with r² values above 0.69. Across all events, more than 22,000 blackout events were detected. The global median blackout duration was four days, with a 5th–95th percentile range of 1–12 days. High-density </w:t>
      </w:r>
      <w:r w:rsidRPr="007812F9">
        <w:rPr>
          <w:rFonts w:ascii="Arial" w:hAnsi="Arial" w:cs="Arial"/>
          <w:color w:val="000000"/>
        </w:rPr>
        <w:lastRenderedPageBreak/>
        <w:t>clusters had longer upper-tail blackout durations than low-density and rural clusters, and blackout duration increased by approximately 0.9 ± 0.1 days per decade across urbanization levels.</w:t>
      </w:r>
    </w:p>
    <w:p w14:paraId="4A2CD962" w14:textId="249CF2D4" w:rsidR="009E34A9" w:rsidRPr="007812F9" w:rsidRDefault="009E34A9" w:rsidP="00D302A8">
      <w:pPr>
        <w:pStyle w:val="NormalWeb"/>
        <w:rPr>
          <w:rFonts w:ascii="Arial" w:hAnsi="Arial" w:cs="Arial"/>
          <w:b/>
          <w:bCs/>
          <w:color w:val="000000"/>
        </w:rPr>
      </w:pPr>
      <w:r w:rsidRPr="007812F9">
        <w:rPr>
          <w:rFonts w:ascii="Arial" w:hAnsi="Arial" w:cs="Arial"/>
          <w:color w:val="000000"/>
        </w:rPr>
        <w:t xml:space="preserve">Mo et al. (2025) directly reduces novelty space for any broad claim that </w:t>
      </w:r>
      <w:r w:rsidRPr="007812F9">
        <w:rPr>
          <w:rFonts w:ascii="Arial" w:hAnsi="Arial" w:cs="Arial"/>
          <w:b/>
          <w:bCs/>
          <w:color w:val="000000"/>
        </w:rPr>
        <w:t>daily NTL can estimate tropical-cyclone power-system recovery</w:t>
      </w:r>
      <w:r w:rsidRPr="007812F9">
        <w:rPr>
          <w:rFonts w:ascii="Arial" w:hAnsi="Arial" w:cs="Arial"/>
          <w:color w:val="000000"/>
        </w:rPr>
        <w:t xml:space="preserve">. </w:t>
      </w:r>
      <w:r w:rsidRPr="007812F9">
        <w:rPr>
          <w:rFonts w:ascii="Arial" w:hAnsi="Arial" w:cs="Arial"/>
          <w:b/>
          <w:bCs/>
          <w:color w:val="000000"/>
        </w:rPr>
        <w:t>That problem is now addressed at global scale</w:t>
      </w:r>
      <w:r w:rsidRPr="007812F9">
        <w:rPr>
          <w:rFonts w:ascii="Arial" w:hAnsi="Arial" w:cs="Arial"/>
          <w:color w:val="000000"/>
        </w:rPr>
        <w:t xml:space="preserve">. However, its scale requires design compromises. It uses cluster-scale spatial averages, 5 km processing, next-available gap filling, and statistical uncertainty bounds rather than pixel-level or settlement-class observability diagnostics. It accounts for missingness and angular uncertainty, but does not deeply analyze where the daily observation record becomes too sparse for local recovery interpretation. For a Philippines RQ2, the remaining space is therefore </w:t>
      </w:r>
      <w:r w:rsidRPr="007812F9">
        <w:rPr>
          <w:rFonts w:ascii="Arial" w:hAnsi="Arial" w:cs="Arial"/>
          <w:b/>
          <w:bCs/>
          <w:color w:val="000000"/>
        </w:rPr>
        <w:t>local and methodological</w:t>
      </w:r>
      <w:r w:rsidRPr="007812F9">
        <w:rPr>
          <w:rFonts w:ascii="Arial" w:hAnsi="Arial" w:cs="Arial"/>
          <w:color w:val="000000"/>
        </w:rPr>
        <w:t xml:space="preserve">: whether daily Black Marble recovery metrics remain valid when observability is low, </w:t>
      </w:r>
      <w:r w:rsidRPr="007812F9">
        <w:rPr>
          <w:rFonts w:ascii="Arial" w:hAnsi="Arial" w:cs="Arial"/>
          <w:b/>
          <w:bCs/>
          <w:color w:val="000000"/>
        </w:rPr>
        <w:t>settlement morphology is heterogeneous</w:t>
      </w:r>
      <w:r w:rsidRPr="007812F9">
        <w:rPr>
          <w:rFonts w:ascii="Arial" w:hAnsi="Arial" w:cs="Arial"/>
          <w:color w:val="000000"/>
        </w:rPr>
        <w:t xml:space="preserve">, and </w:t>
      </w:r>
      <w:r w:rsidRPr="007812F9">
        <w:rPr>
          <w:rFonts w:ascii="Arial" w:hAnsi="Arial" w:cs="Arial"/>
          <w:b/>
          <w:bCs/>
          <w:color w:val="000000"/>
        </w:rPr>
        <w:t>independent electricity-load validation is available.</w:t>
      </w:r>
    </w:p>
    <w:p w14:paraId="359C63B0" w14:textId="71DE8B80" w:rsidR="009E34A9" w:rsidRPr="007812F9" w:rsidRDefault="003C3A5E" w:rsidP="009E34A9">
      <w:pPr>
        <w:pStyle w:val="Heading2"/>
        <w:rPr>
          <w:rFonts w:ascii="Arial" w:hAnsi="Arial" w:cs="Arial"/>
          <w:b/>
          <w:bCs/>
          <w:color w:val="0432FF"/>
          <w:sz w:val="28"/>
          <w:szCs w:val="28"/>
        </w:rPr>
      </w:pPr>
      <w:r w:rsidRPr="007812F9">
        <w:rPr>
          <w:rFonts w:ascii="Arial" w:hAnsi="Arial" w:cs="Arial"/>
          <w:b/>
          <w:bCs/>
          <w:color w:val="0432FF"/>
          <w:sz w:val="28"/>
          <w:szCs w:val="28"/>
        </w:rPr>
        <w:t xml:space="preserve">IV. </w:t>
      </w:r>
      <w:r w:rsidR="009E34A9" w:rsidRPr="007812F9">
        <w:rPr>
          <w:rFonts w:ascii="Arial" w:hAnsi="Arial" w:cs="Arial"/>
          <w:b/>
          <w:bCs/>
          <w:color w:val="0432FF"/>
          <w:sz w:val="28"/>
          <w:szCs w:val="28"/>
        </w:rPr>
        <w:t>Zheng et al. —</w:t>
      </w:r>
      <w:r w:rsidR="009E34A9" w:rsidRPr="007812F9">
        <w:rPr>
          <w:rStyle w:val="apple-converted-space"/>
          <w:rFonts w:ascii="Arial" w:hAnsi="Arial" w:cs="Arial"/>
          <w:b/>
          <w:bCs/>
          <w:color w:val="0432FF"/>
          <w:sz w:val="28"/>
          <w:szCs w:val="28"/>
        </w:rPr>
        <w:t> </w:t>
      </w:r>
      <w:r w:rsidR="009E34A9" w:rsidRPr="007812F9">
        <w:rPr>
          <w:rStyle w:val="Emphasis"/>
          <w:rFonts w:ascii="Arial" w:hAnsi="Arial" w:cs="Arial"/>
          <w:b/>
          <w:bCs/>
          <w:color w:val="0432FF"/>
          <w:sz w:val="28"/>
          <w:szCs w:val="28"/>
        </w:rPr>
        <w:t>Nighttime lights reveal substantial spatial heterogeneity and inequality in post-hurricane recovery</w:t>
      </w:r>
    </w:p>
    <w:p w14:paraId="4BA91DAB"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Zheng et al. (2025) represents the strongest current model for fine-scale daily Black Marble recovery analysis. The study examined ten severe U.S. hurricanes, represented as 17 hurricane-state pairs across 446 FEMA-designated counties. Its central contribution is the use of daily Black Marble NTL to estimate recovery at built-up pixel scale, then compare pixel-scale recovery patterns with aggregated county and census-tract estimates.</w:t>
      </w:r>
    </w:p>
    <w:p w14:paraId="31E414F2"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study used the BRDF-corrected NTL radiance layer from VNP46A2 and retained high-quality observations through the Mandatory Quality Flag layer, masking low-quality observations such as cloud-contaminated, snow-covered, and outlier observations. It also obtained VZA from VNP46A1 and applied a quadratic regression-based angular correction to convert radiance observed at different VZAs to estimated nadir-equivalent radiance. </w:t>
      </w:r>
      <w:r w:rsidRPr="007812F9">
        <w:rPr>
          <w:rFonts w:ascii="Arial" w:hAnsi="Arial" w:cs="Arial"/>
          <w:b/>
          <w:bCs/>
          <w:color w:val="000000"/>
        </w:rPr>
        <w:t>This is one of the clearest examples of a post-disaster NTL recovery paper incorporating VZA explicitly. The reported angular-effect bias averaged 5.6% at VZA = 30° and 10.3% at VZA = 60°.</w:t>
      </w:r>
    </w:p>
    <w:p w14:paraId="16044A01"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time-series model was BEAST, applied to each built-up pixel using a two-year pre- and post-hurricane window. </w:t>
      </w:r>
      <w:r w:rsidRPr="007812F9">
        <w:rPr>
          <w:rFonts w:ascii="Arial" w:hAnsi="Arial" w:cs="Arial"/>
          <w:b/>
          <w:bCs/>
          <w:color w:val="000000"/>
        </w:rPr>
        <w:t>BEAST was used to decompose the daily NTL series into trend, seasonality, and remainder, and to detect statistically significant decreases in NTL during hurricane landfall.</w:t>
      </w:r>
      <w:r w:rsidRPr="007812F9">
        <w:rPr>
          <w:rFonts w:ascii="Arial" w:hAnsi="Arial" w:cs="Arial"/>
          <w:color w:val="000000"/>
        </w:rPr>
        <w:t xml:space="preserve"> Detected changes had to occur within ±15 days of landfall, have change occurrence probability greater than 95%, and not coincide with land-cover change. The method then estimated recovery duration as the time required for the observed NTL trend to return to a </w:t>
      </w:r>
      <w:r w:rsidRPr="007812F9">
        <w:rPr>
          <w:rFonts w:ascii="Arial" w:hAnsi="Arial" w:cs="Arial"/>
          <w:b/>
          <w:bCs/>
          <w:color w:val="000000"/>
        </w:rPr>
        <w:t xml:space="preserve">business-as-usual trend, </w:t>
      </w:r>
      <w:r w:rsidRPr="007812F9">
        <w:rPr>
          <w:rFonts w:ascii="Arial" w:hAnsi="Arial" w:cs="Arial"/>
          <w:color w:val="000000"/>
        </w:rPr>
        <w:t>defined as a</w:t>
      </w:r>
      <w:r w:rsidRPr="007812F9">
        <w:rPr>
          <w:rFonts w:ascii="Arial" w:hAnsi="Arial" w:cs="Arial"/>
          <w:b/>
          <w:bCs/>
          <w:color w:val="000000"/>
        </w:rPr>
        <w:t xml:space="preserve"> continuation of pre-hurricane conditions</w:t>
      </w:r>
      <w:r w:rsidRPr="007812F9">
        <w:rPr>
          <w:rFonts w:ascii="Arial" w:hAnsi="Arial" w:cs="Arial"/>
          <w:color w:val="000000"/>
        </w:rPr>
        <w:t xml:space="preserve">. Recovery trajectories were clustered into fast, normal, and prolonged recovery using k-means and time-weighted dynamic time warping. The study further evaluated scale effects by repeating analysis </w:t>
      </w:r>
      <w:r w:rsidRPr="007812F9">
        <w:rPr>
          <w:rFonts w:ascii="Arial" w:hAnsi="Arial" w:cs="Arial"/>
          <w:color w:val="000000"/>
        </w:rPr>
        <w:lastRenderedPageBreak/>
        <w:t>at pixel, census-tract, and county scales, and assessed inequality using Lorenz curves, Gini indices, FEMA assistance data, and ACS socioeconomic variables.</w:t>
      </w:r>
    </w:p>
    <w:p w14:paraId="3D97C3C8"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The results show strong model performance and substantial heterogeneity. Average BEAST model fit was R² = 0.81 ± 0.14. Among pixels identified as having significant NTL decrease, 99.84% showed significantly lower post-hurricane deviation than pre-hurricane deviation, supporting the attribution of detected decreases to hurricane impact rather than background temporal variation. On average, 26 ± 24% of built-up pixels within counties were affected, with an average NTL decrease of 50 ± 35%. Median recovery duration was 93 days, with a 25th–75th percentile range of 38–203 days. Within counties, recovery duration differed by a factor of about seven. A prolonged recovery cluster represented 28% of built-up areas, with median recovery duration of 205 days; 42% of prolonged-recovery areas had not returned to BAU level after 12 months.</w:t>
      </w:r>
    </w:p>
    <w:p w14:paraId="023EAB13" w14:textId="3F014143" w:rsidR="009E34A9" w:rsidRPr="007812F9" w:rsidRDefault="009E34A9" w:rsidP="009E34A9">
      <w:pPr>
        <w:pStyle w:val="NormalWeb"/>
        <w:rPr>
          <w:rFonts w:ascii="Arial" w:hAnsi="Arial" w:cs="Arial"/>
          <w:color w:val="000000"/>
        </w:rPr>
      </w:pPr>
      <w:r w:rsidRPr="007812F9">
        <w:rPr>
          <w:rFonts w:ascii="Arial" w:hAnsi="Arial" w:cs="Arial"/>
          <w:color w:val="000000"/>
        </w:rPr>
        <w:t xml:space="preserve">Zheng et al. (2025) is the most direct comparator for RQ2 if the planned study uses daily VNP46A2, recovery duration, VZA correction, BEAST, pixel-scale recovery, and settlement heterogeneity. Its main limitation for a Philippines context is not methodological weakness, but transferability. </w:t>
      </w:r>
      <w:r w:rsidRPr="007812F9">
        <w:rPr>
          <w:rFonts w:ascii="Arial" w:hAnsi="Arial" w:cs="Arial"/>
          <w:b/>
          <w:bCs/>
          <w:color w:val="000000"/>
        </w:rPr>
        <w:t>The U.S. setting provides FEMA declarations, FEMA assistance records, ACS variables, and Department of Energy restoration statistics.</w:t>
      </w:r>
      <w:r w:rsidRPr="007812F9">
        <w:rPr>
          <w:rFonts w:ascii="Arial" w:hAnsi="Arial" w:cs="Arial"/>
          <w:color w:val="000000"/>
        </w:rPr>
        <w:t xml:space="preserve"> Tropical cloud persistence is acknowledged through data gaps</w:t>
      </w:r>
      <w:r w:rsidR="00CB7C0E" w:rsidRPr="007812F9">
        <w:rPr>
          <w:rFonts w:ascii="Arial" w:hAnsi="Arial" w:cs="Arial"/>
          <w:color w:val="000000"/>
        </w:rPr>
        <w:t xml:space="preserve"> (</w:t>
      </w:r>
      <w:r w:rsidRPr="007812F9">
        <w:rPr>
          <w:rFonts w:ascii="Arial" w:hAnsi="Arial" w:cs="Arial"/>
          <w:color w:val="000000"/>
        </w:rPr>
        <w:t>30.9% of daily observations on average</w:t>
      </w:r>
      <w:r w:rsidR="00CB7C0E" w:rsidRPr="007812F9">
        <w:rPr>
          <w:rFonts w:ascii="Arial" w:hAnsi="Arial" w:cs="Arial"/>
          <w:color w:val="000000"/>
        </w:rPr>
        <w:t xml:space="preserve">) </w:t>
      </w:r>
      <w:r w:rsidRPr="007812F9">
        <w:rPr>
          <w:rFonts w:ascii="Arial" w:hAnsi="Arial" w:cs="Arial"/>
          <w:color w:val="000000"/>
        </w:rPr>
        <w:t>but not turned into a separate interpretability class such as “not observable.” The paper also notes that affected pixels below approximately 4 nW cm</w:t>
      </w:r>
      <w:r w:rsidRPr="007812F9">
        <w:rPr>
          <w:rFonts w:ascii="Cambria Math" w:hAnsi="Cambria Math" w:cs="Cambria Math"/>
          <w:color w:val="000000"/>
        </w:rPr>
        <w:t>⁻</w:t>
      </w:r>
      <w:r w:rsidRPr="007812F9">
        <w:rPr>
          <w:rFonts w:ascii="Arial" w:hAnsi="Arial" w:cs="Arial"/>
          <w:color w:val="000000"/>
        </w:rPr>
        <w:t>² sr</w:t>
      </w:r>
      <w:r w:rsidRPr="007812F9">
        <w:rPr>
          <w:rFonts w:ascii="Cambria Math" w:hAnsi="Cambria Math" w:cs="Cambria Math"/>
          <w:color w:val="000000"/>
        </w:rPr>
        <w:t>⁻</w:t>
      </w:r>
      <w:r w:rsidRPr="007812F9">
        <w:rPr>
          <w:rFonts w:ascii="Arial" w:hAnsi="Arial" w:cs="Arial"/>
          <w:color w:val="000000"/>
        </w:rPr>
        <w:t>¹ may be under-detected, which is critical for rural, peri-urban, and low-light tropical settlements.</w:t>
      </w:r>
    </w:p>
    <w:p w14:paraId="58B2144B" w14:textId="40011E43" w:rsidR="009E34A9" w:rsidRPr="007812F9" w:rsidRDefault="009E34A9" w:rsidP="003C3A5E">
      <w:pPr>
        <w:pStyle w:val="NormalWeb"/>
        <w:rPr>
          <w:rFonts w:ascii="Arial" w:hAnsi="Arial" w:cs="Arial"/>
          <w:color w:val="000000"/>
        </w:rPr>
      </w:pPr>
      <w:r w:rsidRPr="007812F9">
        <w:rPr>
          <w:rFonts w:ascii="Arial" w:hAnsi="Arial" w:cs="Arial"/>
          <w:color w:val="000000"/>
        </w:rPr>
        <w:t>For RQ2, Zheng et al. (2025) narrows the novelty space substantially. A new study should not claim novelty in pixel-scale daily Black Marble recovery or VZA-aware post-hurricane analysis. The remaining contribution lies in</w:t>
      </w:r>
      <w:r w:rsidRPr="007812F9">
        <w:rPr>
          <w:rFonts w:ascii="Arial" w:hAnsi="Arial" w:cs="Arial"/>
          <w:b/>
          <w:bCs/>
          <w:color w:val="000000"/>
        </w:rPr>
        <w:t xml:space="preserve"> adapting and stress-testing these methods under a lower-observability tropical setting</w:t>
      </w:r>
      <w:r w:rsidRPr="007812F9">
        <w:rPr>
          <w:rFonts w:ascii="Arial" w:hAnsi="Arial" w:cs="Arial"/>
          <w:color w:val="000000"/>
        </w:rPr>
        <w:t xml:space="preserve">, replacing U.S.-specific recovery/aid datasets with GHSL settlement morphology and electricity-system validation, and </w:t>
      </w:r>
      <w:r w:rsidRPr="007812F9">
        <w:rPr>
          <w:rFonts w:ascii="Arial" w:hAnsi="Arial" w:cs="Arial"/>
          <w:b/>
          <w:bCs/>
          <w:color w:val="000000"/>
        </w:rPr>
        <w:t>explicitly separating low recovery from low observability</w:t>
      </w:r>
      <w:r w:rsidRPr="007812F9">
        <w:rPr>
          <w:rFonts w:ascii="Arial" w:hAnsi="Arial" w:cs="Arial"/>
          <w:color w:val="000000"/>
        </w:rPr>
        <w:t>.</w:t>
      </w:r>
    </w:p>
    <w:p w14:paraId="42C16E58" w14:textId="49D9E8AD" w:rsidR="009E34A9" w:rsidRPr="007812F9" w:rsidRDefault="003C3A5E" w:rsidP="009E34A9">
      <w:pPr>
        <w:pStyle w:val="Heading2"/>
        <w:rPr>
          <w:rFonts w:ascii="Arial" w:hAnsi="Arial" w:cs="Arial"/>
          <w:b/>
          <w:bCs/>
          <w:color w:val="0432FF"/>
          <w:sz w:val="28"/>
          <w:szCs w:val="28"/>
        </w:rPr>
      </w:pPr>
      <w:r w:rsidRPr="007812F9">
        <w:rPr>
          <w:rFonts w:ascii="Arial" w:hAnsi="Arial" w:cs="Arial"/>
          <w:b/>
          <w:bCs/>
          <w:color w:val="0432FF"/>
          <w:sz w:val="28"/>
          <w:szCs w:val="28"/>
        </w:rPr>
        <w:t xml:space="preserve">V. </w:t>
      </w:r>
      <w:r w:rsidR="009E34A9" w:rsidRPr="007812F9">
        <w:rPr>
          <w:rFonts w:ascii="Arial" w:hAnsi="Arial" w:cs="Arial"/>
          <w:b/>
          <w:bCs/>
          <w:color w:val="0432FF"/>
          <w:sz w:val="28"/>
          <w:szCs w:val="28"/>
        </w:rPr>
        <w:t>Mu et al. —</w:t>
      </w:r>
      <w:r w:rsidR="009E34A9" w:rsidRPr="007812F9">
        <w:rPr>
          <w:rStyle w:val="apple-converted-space"/>
          <w:rFonts w:ascii="Arial" w:hAnsi="Arial" w:cs="Arial"/>
          <w:b/>
          <w:bCs/>
          <w:color w:val="0432FF"/>
          <w:sz w:val="28"/>
          <w:szCs w:val="28"/>
        </w:rPr>
        <w:t> </w:t>
      </w:r>
      <w:r w:rsidR="009E34A9" w:rsidRPr="007812F9">
        <w:rPr>
          <w:rStyle w:val="Emphasis"/>
          <w:rFonts w:ascii="Arial" w:hAnsi="Arial" w:cs="Arial"/>
          <w:b/>
          <w:bCs/>
          <w:color w:val="0432FF"/>
          <w:sz w:val="28"/>
          <w:szCs w:val="28"/>
        </w:rPr>
        <w:t>Robust disaster impact assessment with synthetic control modeling framework and daily nighttime light time series images</w:t>
      </w:r>
    </w:p>
    <w:p w14:paraId="11B2EB6E"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Mu et al. (2025) addresses a different but closely related problem: robust estimation of business-as-usual NTL under a no-disaster counterfactual. </w:t>
      </w:r>
      <w:r w:rsidRPr="007812F9">
        <w:rPr>
          <w:rFonts w:ascii="Arial" w:hAnsi="Arial" w:cs="Arial"/>
          <w:b/>
          <w:bCs/>
          <w:color w:val="000000"/>
        </w:rPr>
        <w:t>The study argues that many disaster NTL studies rely on arbitrary pre/post comparison or fixed pre-disaster averages</w:t>
      </w:r>
      <w:r w:rsidRPr="007812F9">
        <w:rPr>
          <w:rFonts w:ascii="Arial" w:hAnsi="Arial" w:cs="Arial"/>
          <w:color w:val="000000"/>
        </w:rPr>
        <w:t>, which are vulnerable to secular trends, seasonal patterns, model error, and non-disaster NTL changes. It proposes a synthetic-control framework using daily Black Marble NTL to estimate counterfactual BAU NTL and then quantify disaster impact as the treatment effect between observed and synthetic NTL.</w:t>
      </w:r>
    </w:p>
    <w:p w14:paraId="17FE9D0D" w14:textId="77777777" w:rsidR="009E34A9" w:rsidRPr="007812F9" w:rsidRDefault="009E34A9" w:rsidP="009E34A9">
      <w:pPr>
        <w:pStyle w:val="NormalWeb"/>
        <w:rPr>
          <w:rFonts w:ascii="Arial" w:hAnsi="Arial" w:cs="Arial"/>
          <w:color w:val="000000"/>
        </w:rPr>
      </w:pPr>
      <w:r w:rsidRPr="007812F9">
        <w:rPr>
          <w:rFonts w:ascii="Arial" w:hAnsi="Arial" w:cs="Arial"/>
          <w:color w:val="000000"/>
        </w:rPr>
        <w:lastRenderedPageBreak/>
        <w:t xml:space="preserve">The study analyzed 20 disasters, including </w:t>
      </w:r>
      <w:r w:rsidRPr="007812F9">
        <w:rPr>
          <w:rFonts w:ascii="Arial" w:hAnsi="Arial" w:cs="Arial"/>
          <w:b/>
          <w:bCs/>
          <w:color w:val="000000"/>
        </w:rPr>
        <w:t>earthquakes, floods, hurricanes, cyclones, and wars</w:t>
      </w:r>
      <w:r w:rsidRPr="007812F9">
        <w:rPr>
          <w:rFonts w:ascii="Arial" w:hAnsi="Arial" w:cs="Arial"/>
          <w:color w:val="000000"/>
        </w:rPr>
        <w:t xml:space="preserve">. It used </w:t>
      </w:r>
      <w:r w:rsidRPr="007812F9">
        <w:rPr>
          <w:rFonts w:ascii="Arial" w:hAnsi="Arial" w:cs="Arial"/>
          <w:b/>
          <w:bCs/>
          <w:color w:val="000000"/>
        </w:rPr>
        <w:t>NASA Black Marble VNP46A2 daily moonlight- and atmosphere-corrected NTL from 180 days before to 179 days after each disaster</w:t>
      </w:r>
      <w:r w:rsidRPr="007812F9">
        <w:rPr>
          <w:rFonts w:ascii="Arial" w:hAnsi="Arial" w:cs="Arial"/>
          <w:color w:val="000000"/>
        </w:rPr>
        <w:t xml:space="preserve">. The main NTL layer was the lunar BRDF-corrected DNB radiance layer, with the Mandatory Quality Flag used to screen low-quality observations. </w:t>
      </w:r>
      <w:r w:rsidRPr="007812F9">
        <w:rPr>
          <w:rFonts w:ascii="Arial" w:hAnsi="Arial" w:cs="Arial"/>
          <w:b/>
          <w:bCs/>
          <w:color w:val="000000"/>
        </w:rPr>
        <w:t>Low-quality observations were then replaced using second-order polynomial interpolation</w:t>
      </w:r>
      <w:r w:rsidRPr="007812F9">
        <w:rPr>
          <w:rFonts w:ascii="Arial" w:hAnsi="Arial" w:cs="Arial"/>
          <w:color w:val="000000"/>
        </w:rPr>
        <w:t>. Pixels below the 5th percentile of median pre-disaster NTL intensity were masked to reduce background noise and ephemeral-light influence. The outcome variable was total daily NTL intensity over the target area and donor areas.</w:t>
      </w:r>
    </w:p>
    <w:p w14:paraId="1DDBB725"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synthetic-control model is strengthened in two ways. First, donor selection is optimized using dynamic time warping on population, built-up area, and GDP similarity among geographically close unaffected donor regions. Second, random forest regression replaces the conventional linear synthetic-control relationship to better capture nonlinear target-donor relationships. Model performance is </w:t>
      </w:r>
      <w:r w:rsidRPr="007812F9">
        <w:rPr>
          <w:rFonts w:ascii="Arial" w:hAnsi="Arial" w:cs="Arial"/>
          <w:b/>
          <w:bCs/>
          <w:color w:val="000000"/>
        </w:rPr>
        <w:t>evaluated using pre-disaster correlation between observed and synthetic NTL, covariate differences, treatment effect versus modelling error, and placebo tests</w:t>
      </w:r>
      <w:r w:rsidRPr="007812F9">
        <w:rPr>
          <w:rFonts w:ascii="Arial" w:hAnsi="Arial" w:cs="Arial"/>
          <w:color w:val="000000"/>
        </w:rPr>
        <w:t>. The model is also compared with linear synthetic control, BFAST, and LSTM.</w:t>
      </w:r>
    </w:p>
    <w:p w14:paraId="110DBB7E"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The study defines three disaster impact metrics: </w:t>
      </w:r>
      <w:r w:rsidRPr="007812F9">
        <w:rPr>
          <w:rFonts w:ascii="Arial" w:hAnsi="Arial" w:cs="Arial"/>
          <w:b/>
          <w:bCs/>
          <w:color w:val="000000"/>
          <w:highlight w:val="yellow"/>
        </w:rPr>
        <w:t>impact duration, impact intensity, and impact severity.</w:t>
      </w:r>
      <w:r w:rsidRPr="007812F9">
        <w:rPr>
          <w:rFonts w:ascii="Arial" w:hAnsi="Arial" w:cs="Arial"/>
          <w:b/>
          <w:bCs/>
          <w:color w:val="000000"/>
        </w:rPr>
        <w:t xml:space="preserve"> </w:t>
      </w:r>
      <w:r w:rsidRPr="007812F9">
        <w:rPr>
          <w:rFonts w:ascii="Arial" w:hAnsi="Arial" w:cs="Arial"/>
          <w:color w:val="000000"/>
        </w:rPr>
        <w:t xml:space="preserve">Impact duration is the time from disaster onset until observed NTL returns to synthetic BAU NTL. A 13-day median filter is applied to the treatment-effect curve to reduce high temporal variation. </w:t>
      </w:r>
      <w:r w:rsidRPr="007812F9">
        <w:rPr>
          <w:rFonts w:ascii="Arial" w:hAnsi="Arial" w:cs="Arial"/>
          <w:b/>
          <w:bCs/>
          <w:color w:val="000000"/>
        </w:rPr>
        <w:t>Impact intensity is the cumulative percentage difference between observed and synthetic NTL over the impact period</w:t>
      </w:r>
      <w:r w:rsidRPr="007812F9">
        <w:rPr>
          <w:rFonts w:ascii="Arial" w:hAnsi="Arial" w:cs="Arial"/>
          <w:color w:val="000000"/>
        </w:rPr>
        <w:t xml:space="preserve">, while </w:t>
      </w:r>
      <w:r w:rsidRPr="007812F9">
        <w:rPr>
          <w:rFonts w:ascii="Arial" w:hAnsi="Arial" w:cs="Arial"/>
          <w:b/>
          <w:bCs/>
          <w:color w:val="000000"/>
        </w:rPr>
        <w:t>impact severity is the maximum percentage decline from BAU</w:t>
      </w:r>
      <w:r w:rsidRPr="007812F9">
        <w:rPr>
          <w:rFonts w:ascii="Arial" w:hAnsi="Arial" w:cs="Arial"/>
          <w:color w:val="000000"/>
        </w:rPr>
        <w:t>. The model achieved an average pre-disaster correlation of 0.94 ± 0.02 between synthetic and observed NTL, compared with 0.29 ± 0.20 for conventional linear synthetic control. Average covariate difference was 0.47 ± 0.45%, and detected treatment effects were statistically larger than modelling error.</w:t>
      </w:r>
    </w:p>
    <w:p w14:paraId="56DE9B53"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Mu et al. (2025) is highly relevant </w:t>
      </w:r>
      <w:r w:rsidRPr="007812F9">
        <w:rPr>
          <w:rFonts w:ascii="Arial" w:hAnsi="Arial" w:cs="Arial"/>
          <w:b/>
          <w:bCs/>
          <w:color w:val="000000"/>
        </w:rPr>
        <w:t>for baseline construction</w:t>
      </w:r>
      <w:r w:rsidRPr="007812F9">
        <w:rPr>
          <w:rFonts w:ascii="Arial" w:hAnsi="Arial" w:cs="Arial"/>
          <w:color w:val="000000"/>
        </w:rPr>
        <w:t xml:space="preserve"> but is less directly an electricity-restoration paper. It estimates </w:t>
      </w:r>
      <w:r w:rsidRPr="007812F9">
        <w:rPr>
          <w:rFonts w:ascii="Arial" w:hAnsi="Arial" w:cs="Arial"/>
          <w:b/>
          <w:bCs/>
          <w:color w:val="000000"/>
        </w:rPr>
        <w:t>disaster impact on human activity</w:t>
      </w:r>
      <w:r w:rsidRPr="007812F9">
        <w:rPr>
          <w:rFonts w:ascii="Arial" w:hAnsi="Arial" w:cs="Arial"/>
          <w:color w:val="000000"/>
        </w:rPr>
        <w:t xml:space="preserve">, not specifically grid recovery. It </w:t>
      </w:r>
      <w:r w:rsidRPr="007812F9">
        <w:rPr>
          <w:rFonts w:ascii="Arial" w:hAnsi="Arial" w:cs="Arial"/>
          <w:b/>
          <w:bCs/>
          <w:color w:val="000000"/>
        </w:rPr>
        <w:t>also aggregates NTL over target areas</w:t>
      </w:r>
      <w:r w:rsidRPr="007812F9">
        <w:rPr>
          <w:rFonts w:ascii="Arial" w:hAnsi="Arial" w:cs="Arial"/>
          <w:color w:val="000000"/>
        </w:rPr>
        <w:t>, which improves robustness but reduces spatial detail. The paper explicitly acknowledges two limitations that are central for RQ2: first, B</w:t>
      </w:r>
      <w:r w:rsidRPr="007812F9">
        <w:rPr>
          <w:rFonts w:ascii="Arial" w:hAnsi="Arial" w:cs="Arial"/>
          <w:b/>
          <w:bCs/>
          <w:color w:val="000000"/>
        </w:rPr>
        <w:t>RDF-corrected daily VNP46 data contain prevailing data gaps</w:t>
      </w:r>
      <w:r w:rsidRPr="007812F9">
        <w:rPr>
          <w:rFonts w:ascii="Arial" w:hAnsi="Arial" w:cs="Arial"/>
          <w:color w:val="000000"/>
        </w:rPr>
        <w:t xml:space="preserve">; second, </w:t>
      </w:r>
      <w:r w:rsidRPr="007812F9">
        <w:rPr>
          <w:rFonts w:ascii="Arial" w:hAnsi="Arial" w:cs="Arial"/>
          <w:b/>
          <w:bCs/>
          <w:color w:val="000000"/>
        </w:rPr>
        <w:t>polynomial interpolation can underestimate disaster severity when gaps occur during the first days after disaster onset</w:t>
      </w:r>
      <w:r w:rsidRPr="007812F9">
        <w:rPr>
          <w:rFonts w:ascii="Arial" w:hAnsi="Arial" w:cs="Arial"/>
          <w:color w:val="000000"/>
        </w:rPr>
        <w:t>. It also reports additional analysis of angular effects, finding that VZA had limited influence on aggregate model results, partly because total NTL and median filtering attenuated angular variability. This result is useful but should not be generalized to pixel-scale or settlement-class recovery without testing.</w:t>
      </w:r>
    </w:p>
    <w:p w14:paraId="6AA50972" w14:textId="13AC6958" w:rsidR="009E34A9" w:rsidRPr="007812F9" w:rsidRDefault="009E34A9" w:rsidP="00D302A8">
      <w:pPr>
        <w:pStyle w:val="NormalWeb"/>
        <w:rPr>
          <w:rFonts w:ascii="Arial" w:hAnsi="Arial" w:cs="Arial"/>
          <w:color w:val="000000"/>
        </w:rPr>
      </w:pPr>
      <w:r w:rsidRPr="007812F9">
        <w:rPr>
          <w:rFonts w:ascii="Arial" w:hAnsi="Arial" w:cs="Arial"/>
          <w:color w:val="000000"/>
        </w:rPr>
        <w:t xml:space="preserve">For RQ2, Mu et al. (2025) provides the </w:t>
      </w:r>
      <w:r w:rsidRPr="007812F9">
        <w:rPr>
          <w:rFonts w:ascii="Arial" w:hAnsi="Arial" w:cs="Arial"/>
          <w:b/>
          <w:bCs/>
          <w:color w:val="000000"/>
        </w:rPr>
        <w:t>clearest counterfactual baseline candidate</w:t>
      </w:r>
      <w:r w:rsidRPr="007812F9">
        <w:rPr>
          <w:rFonts w:ascii="Arial" w:hAnsi="Arial" w:cs="Arial"/>
          <w:color w:val="000000"/>
        </w:rPr>
        <w:t xml:space="preserve">. Its limitation is that interpolation and aggregation can reduce sensitivity to the very observation gaps that matter in cloud-impacted regions. A Philippines-focused recovery study can adopt synthetic BAU logic only after verifying that target and donor time </w:t>
      </w:r>
      <w:r w:rsidRPr="007812F9">
        <w:rPr>
          <w:rFonts w:ascii="Arial" w:hAnsi="Arial" w:cs="Arial"/>
          <w:color w:val="000000"/>
        </w:rPr>
        <w:lastRenderedPageBreak/>
        <w:t>series are comparable in observability, settlement structure, hazard independence, and baseline stability.</w:t>
      </w:r>
    </w:p>
    <w:p w14:paraId="58684F4D" w14:textId="77777777" w:rsidR="009E34A9" w:rsidRPr="007812F9" w:rsidRDefault="009E34A9" w:rsidP="009E34A9">
      <w:pPr>
        <w:pStyle w:val="Heading1"/>
        <w:rPr>
          <w:rStyle w:val="Emphasis"/>
          <w:rFonts w:ascii="Arial" w:hAnsi="Arial" w:cs="Arial"/>
          <w:b/>
          <w:bCs/>
          <w:i w:val="0"/>
          <w:iCs w:val="0"/>
          <w:color w:val="0432FF"/>
        </w:rPr>
      </w:pPr>
      <w:r w:rsidRPr="007812F9">
        <w:rPr>
          <w:rStyle w:val="Emphasis"/>
          <w:rFonts w:ascii="Arial" w:hAnsi="Arial" w:cs="Arial"/>
          <w:b/>
          <w:bCs/>
          <w:i w:val="0"/>
          <w:iCs w:val="0"/>
          <w:color w:val="0432FF"/>
        </w:rPr>
        <w:t>Comparative overview of the application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1094"/>
        <w:gridCol w:w="982"/>
        <w:gridCol w:w="1400"/>
        <w:gridCol w:w="1261"/>
        <w:gridCol w:w="1177"/>
        <w:gridCol w:w="1637"/>
        <w:gridCol w:w="1212"/>
      </w:tblGrid>
      <w:tr w:rsidR="009E34A9" w:rsidRPr="007812F9" w14:paraId="79EB0AF1" w14:textId="77777777" w:rsidTr="00D302A8">
        <w:trPr>
          <w:tblHeader/>
          <w:tblCellSpacing w:w="15" w:type="dxa"/>
        </w:trPr>
        <w:tc>
          <w:tcPr>
            <w:tcW w:w="0" w:type="auto"/>
            <w:hideMark/>
          </w:tcPr>
          <w:p w14:paraId="34B72499" w14:textId="77777777" w:rsidR="009E34A9" w:rsidRPr="007812F9" w:rsidRDefault="009E34A9" w:rsidP="00D302A8">
            <w:pPr>
              <w:rPr>
                <w:rFonts w:ascii="Arial" w:hAnsi="Arial" w:cs="Arial"/>
                <w:b/>
                <w:bCs/>
                <w:color w:val="000000"/>
                <w:sz w:val="18"/>
                <w:szCs w:val="18"/>
              </w:rPr>
            </w:pPr>
            <w:r w:rsidRPr="007812F9">
              <w:rPr>
                <w:rFonts w:ascii="Arial" w:hAnsi="Arial" w:cs="Arial"/>
                <w:b/>
                <w:bCs/>
                <w:color w:val="000000"/>
                <w:sz w:val="18"/>
                <w:szCs w:val="18"/>
              </w:rPr>
              <w:t>Study</w:t>
            </w:r>
          </w:p>
        </w:tc>
        <w:tc>
          <w:tcPr>
            <w:tcW w:w="0" w:type="auto"/>
            <w:hideMark/>
          </w:tcPr>
          <w:p w14:paraId="7103E370" w14:textId="77777777" w:rsidR="009E34A9" w:rsidRPr="007812F9" w:rsidRDefault="009E34A9" w:rsidP="00D302A8">
            <w:pPr>
              <w:rPr>
                <w:rFonts w:ascii="Arial" w:hAnsi="Arial" w:cs="Arial"/>
                <w:b/>
                <w:bCs/>
                <w:color w:val="000000"/>
                <w:sz w:val="18"/>
                <w:szCs w:val="18"/>
              </w:rPr>
            </w:pPr>
            <w:r w:rsidRPr="007812F9">
              <w:rPr>
                <w:rFonts w:ascii="Arial" w:hAnsi="Arial" w:cs="Arial"/>
                <w:b/>
                <w:bCs/>
                <w:color w:val="000000"/>
                <w:sz w:val="18"/>
                <w:szCs w:val="18"/>
              </w:rPr>
              <w:t>Disaster setting</w:t>
            </w:r>
          </w:p>
        </w:tc>
        <w:tc>
          <w:tcPr>
            <w:tcW w:w="0" w:type="auto"/>
            <w:hideMark/>
          </w:tcPr>
          <w:p w14:paraId="3D392212" w14:textId="77777777" w:rsidR="009E34A9" w:rsidRPr="007812F9" w:rsidRDefault="009E34A9" w:rsidP="00D302A8">
            <w:pPr>
              <w:rPr>
                <w:rFonts w:ascii="Arial" w:hAnsi="Arial" w:cs="Arial"/>
                <w:b/>
                <w:bCs/>
                <w:color w:val="000000"/>
                <w:sz w:val="18"/>
                <w:szCs w:val="18"/>
              </w:rPr>
            </w:pPr>
            <w:r w:rsidRPr="007812F9">
              <w:rPr>
                <w:rFonts w:ascii="Arial" w:hAnsi="Arial" w:cs="Arial"/>
                <w:b/>
                <w:bCs/>
                <w:color w:val="000000"/>
                <w:sz w:val="18"/>
                <w:szCs w:val="18"/>
              </w:rPr>
              <w:t>NTL product and temporal scale</w:t>
            </w:r>
          </w:p>
        </w:tc>
        <w:tc>
          <w:tcPr>
            <w:tcW w:w="0" w:type="auto"/>
            <w:hideMark/>
          </w:tcPr>
          <w:p w14:paraId="53DCD30C" w14:textId="77777777" w:rsidR="009E34A9" w:rsidRPr="007812F9" w:rsidRDefault="009E34A9" w:rsidP="00D302A8">
            <w:pPr>
              <w:rPr>
                <w:rFonts w:ascii="Arial" w:hAnsi="Arial" w:cs="Arial"/>
                <w:b/>
                <w:bCs/>
                <w:color w:val="000000"/>
                <w:sz w:val="18"/>
                <w:szCs w:val="18"/>
              </w:rPr>
            </w:pPr>
            <w:r w:rsidRPr="007812F9">
              <w:rPr>
                <w:rFonts w:ascii="Arial" w:hAnsi="Arial" w:cs="Arial"/>
                <w:b/>
                <w:bCs/>
                <w:color w:val="000000"/>
                <w:sz w:val="18"/>
                <w:szCs w:val="18"/>
              </w:rPr>
              <w:t>Main metric</w:t>
            </w:r>
          </w:p>
        </w:tc>
        <w:tc>
          <w:tcPr>
            <w:tcW w:w="0" w:type="auto"/>
            <w:hideMark/>
          </w:tcPr>
          <w:p w14:paraId="59994A46" w14:textId="77777777" w:rsidR="009E34A9" w:rsidRPr="007812F9" w:rsidRDefault="009E34A9" w:rsidP="00D302A8">
            <w:pPr>
              <w:rPr>
                <w:rFonts w:ascii="Arial" w:hAnsi="Arial" w:cs="Arial"/>
                <w:b/>
                <w:bCs/>
                <w:color w:val="000000"/>
                <w:sz w:val="18"/>
                <w:szCs w:val="18"/>
              </w:rPr>
            </w:pPr>
            <w:r w:rsidRPr="007812F9">
              <w:rPr>
                <w:rFonts w:ascii="Arial" w:hAnsi="Arial" w:cs="Arial"/>
                <w:b/>
                <w:bCs/>
                <w:color w:val="000000"/>
                <w:sz w:val="18"/>
                <w:szCs w:val="18"/>
              </w:rPr>
              <w:t>Observability / cloud handling</w:t>
            </w:r>
          </w:p>
        </w:tc>
        <w:tc>
          <w:tcPr>
            <w:tcW w:w="0" w:type="auto"/>
            <w:hideMark/>
          </w:tcPr>
          <w:p w14:paraId="68C3543E" w14:textId="77777777" w:rsidR="009E34A9" w:rsidRPr="007812F9" w:rsidRDefault="009E34A9" w:rsidP="00D302A8">
            <w:pPr>
              <w:rPr>
                <w:rFonts w:ascii="Arial" w:hAnsi="Arial" w:cs="Arial"/>
                <w:b/>
                <w:bCs/>
                <w:color w:val="000000"/>
                <w:sz w:val="18"/>
                <w:szCs w:val="18"/>
              </w:rPr>
            </w:pPr>
            <w:r w:rsidRPr="007812F9">
              <w:rPr>
                <w:rFonts w:ascii="Arial" w:hAnsi="Arial" w:cs="Arial"/>
                <w:b/>
                <w:bCs/>
                <w:color w:val="000000"/>
                <w:sz w:val="18"/>
                <w:szCs w:val="18"/>
              </w:rPr>
              <w:t>VZA / angular handling</w:t>
            </w:r>
          </w:p>
        </w:tc>
        <w:tc>
          <w:tcPr>
            <w:tcW w:w="0" w:type="auto"/>
            <w:hideMark/>
          </w:tcPr>
          <w:p w14:paraId="2883AF2F" w14:textId="77777777" w:rsidR="009E34A9" w:rsidRPr="007812F9" w:rsidRDefault="009E34A9" w:rsidP="00D302A8">
            <w:pPr>
              <w:rPr>
                <w:rFonts w:ascii="Arial" w:hAnsi="Arial" w:cs="Arial"/>
                <w:b/>
                <w:bCs/>
                <w:color w:val="000000"/>
                <w:sz w:val="18"/>
                <w:szCs w:val="18"/>
              </w:rPr>
            </w:pPr>
            <w:r w:rsidRPr="007812F9">
              <w:rPr>
                <w:rFonts w:ascii="Arial" w:hAnsi="Arial" w:cs="Arial"/>
                <w:b/>
                <w:bCs/>
                <w:color w:val="000000"/>
                <w:sz w:val="18"/>
                <w:szCs w:val="18"/>
              </w:rPr>
              <w:t>Validation</w:t>
            </w:r>
          </w:p>
        </w:tc>
        <w:tc>
          <w:tcPr>
            <w:tcW w:w="0" w:type="auto"/>
            <w:hideMark/>
          </w:tcPr>
          <w:p w14:paraId="5EE45DB0" w14:textId="77777777" w:rsidR="009E34A9" w:rsidRPr="007812F9" w:rsidRDefault="009E34A9" w:rsidP="00D302A8">
            <w:pPr>
              <w:rPr>
                <w:rFonts w:ascii="Arial" w:hAnsi="Arial" w:cs="Arial"/>
                <w:b/>
                <w:bCs/>
                <w:color w:val="000000"/>
                <w:sz w:val="18"/>
                <w:szCs w:val="18"/>
              </w:rPr>
            </w:pPr>
            <w:r w:rsidRPr="007812F9">
              <w:rPr>
                <w:rFonts w:ascii="Arial" w:hAnsi="Arial" w:cs="Arial"/>
                <w:b/>
                <w:bCs/>
                <w:color w:val="000000"/>
                <w:sz w:val="18"/>
                <w:szCs w:val="18"/>
              </w:rPr>
              <w:t>Main limitation for RQ2 transfer</w:t>
            </w:r>
          </w:p>
        </w:tc>
      </w:tr>
      <w:tr w:rsidR="009E34A9" w:rsidRPr="007812F9" w14:paraId="51F79496" w14:textId="77777777" w:rsidTr="00D302A8">
        <w:trPr>
          <w:tblCellSpacing w:w="15" w:type="dxa"/>
        </w:trPr>
        <w:tc>
          <w:tcPr>
            <w:tcW w:w="0" w:type="auto"/>
            <w:hideMark/>
          </w:tcPr>
          <w:p w14:paraId="490FAFDE"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Román et al. (2019)</w:t>
            </w:r>
          </w:p>
        </w:tc>
        <w:tc>
          <w:tcPr>
            <w:tcW w:w="0" w:type="auto"/>
            <w:hideMark/>
          </w:tcPr>
          <w:p w14:paraId="79DABC46"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Hurricane Maria, Puerto Rico</w:t>
            </w:r>
          </w:p>
        </w:tc>
        <w:tc>
          <w:tcPr>
            <w:tcW w:w="0" w:type="auto"/>
            <w:hideMark/>
          </w:tcPr>
          <w:p w14:paraId="5775C775"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Daily Black Marble VNP46, 500 m; downscaled 30 m HD product</w:t>
            </w:r>
          </w:p>
        </w:tc>
        <w:tc>
          <w:tcPr>
            <w:tcW w:w="0" w:type="auto"/>
            <w:hideMark/>
          </w:tcPr>
          <w:p w14:paraId="5C71C146"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 recovery, NDWE, CHI</w:t>
            </w:r>
          </w:p>
        </w:tc>
        <w:tc>
          <w:tcPr>
            <w:tcW w:w="0" w:type="auto"/>
            <w:hideMark/>
          </w:tcPr>
          <w:p w14:paraId="1310783E"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Black Marble correction; four-day aggregation to reduce cloud-mask omission errors</w:t>
            </w:r>
          </w:p>
        </w:tc>
        <w:tc>
          <w:tcPr>
            <w:tcW w:w="0" w:type="auto"/>
            <w:hideMark/>
          </w:tcPr>
          <w:p w14:paraId="79E1A5E1"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BRDF correction discussed through Black Marble; no explicit VZA model</w:t>
            </w:r>
          </w:p>
        </w:tc>
        <w:tc>
          <w:tcPr>
            <w:tcW w:w="0" w:type="auto"/>
            <w:hideMark/>
          </w:tcPr>
          <w:p w14:paraId="60A5B441"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PREPA electricity restoration; R = 0.839; average difference 17.9%</w:t>
            </w:r>
          </w:p>
        </w:tc>
        <w:tc>
          <w:tcPr>
            <w:tcW w:w="0" w:type="auto"/>
            <w:hideMark/>
          </w:tcPr>
          <w:p w14:paraId="500103B2"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Strong electricity-restoration precedent, but observability is not formalized as a first-stage interpretability condition</w:t>
            </w:r>
          </w:p>
        </w:tc>
      </w:tr>
      <w:tr w:rsidR="009E34A9" w:rsidRPr="007812F9" w14:paraId="2CA9C818" w14:textId="77777777" w:rsidTr="00D302A8">
        <w:trPr>
          <w:tblCellSpacing w:w="15" w:type="dxa"/>
        </w:trPr>
        <w:tc>
          <w:tcPr>
            <w:tcW w:w="0" w:type="auto"/>
            <w:hideMark/>
          </w:tcPr>
          <w:p w14:paraId="220C1EED"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Zhao et al. (2020)</w:t>
            </w:r>
          </w:p>
        </w:tc>
        <w:tc>
          <w:tcPr>
            <w:tcW w:w="0" w:type="auto"/>
            <w:hideMark/>
          </w:tcPr>
          <w:p w14:paraId="460B3B2C"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Hurricanes Irma and Maria, Puerto Rico</w:t>
            </w:r>
          </w:p>
        </w:tc>
        <w:tc>
          <w:tcPr>
            <w:tcW w:w="0" w:type="auto"/>
            <w:hideMark/>
          </w:tcPr>
          <w:p w14:paraId="37E9CEFE"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NOAA/NCEI VIIRS-DNB monthly composites, ~500 m</w:t>
            </w:r>
          </w:p>
        </w:tc>
        <w:tc>
          <w:tcPr>
            <w:tcW w:w="0" w:type="auto"/>
            <w:hideMark/>
          </w:tcPr>
          <w:p w14:paraId="1FB6AF1B"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Significant decrease/increase relative to STL forecast intervals</w:t>
            </w:r>
          </w:p>
        </w:tc>
        <w:tc>
          <w:tcPr>
            <w:tcW w:w="0" w:type="auto"/>
            <w:hideMark/>
          </w:tcPr>
          <w:p w14:paraId="3E686790"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Monthly cloud-free compositing; atmospheric uncertainty acknowledged</w:t>
            </w:r>
          </w:p>
        </w:tc>
        <w:tc>
          <w:tcPr>
            <w:tcW w:w="0" w:type="auto"/>
            <w:hideMark/>
          </w:tcPr>
          <w:p w14:paraId="4659E776"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No explicit VZA or anisotropy handling</w:t>
            </w:r>
          </w:p>
        </w:tc>
        <w:tc>
          <w:tcPr>
            <w:tcW w:w="0" w:type="auto"/>
            <w:hideMark/>
          </w:tcPr>
          <w:p w14:paraId="02118625"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23 photo-map damage locations; EAI comparison; BFAST comparison</w:t>
            </w:r>
          </w:p>
        </w:tc>
        <w:tc>
          <w:tcPr>
            <w:tcW w:w="0" w:type="auto"/>
            <w:hideMark/>
          </w:tcPr>
          <w:p w14:paraId="7553D89C"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Useful for time-series detection, but monthly and not directly electricity-restoration focused</w:t>
            </w:r>
          </w:p>
        </w:tc>
      </w:tr>
      <w:tr w:rsidR="009E34A9" w:rsidRPr="007812F9" w14:paraId="42970D54" w14:textId="77777777" w:rsidTr="00D302A8">
        <w:trPr>
          <w:tblCellSpacing w:w="15" w:type="dxa"/>
        </w:trPr>
        <w:tc>
          <w:tcPr>
            <w:tcW w:w="0" w:type="auto"/>
            <w:hideMark/>
          </w:tcPr>
          <w:p w14:paraId="086E0F06"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Mo et al. (2025)</w:t>
            </w:r>
          </w:p>
        </w:tc>
        <w:tc>
          <w:tcPr>
            <w:tcW w:w="0" w:type="auto"/>
            <w:hideMark/>
          </w:tcPr>
          <w:p w14:paraId="0143058B"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396 tropical cyclones, 66 countries</w:t>
            </w:r>
          </w:p>
        </w:tc>
        <w:tc>
          <w:tcPr>
            <w:tcW w:w="0" w:type="auto"/>
            <w:hideMark/>
          </w:tcPr>
          <w:p w14:paraId="033846FE"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Daily Black Marble VNP46A2, 500 m; processed at 5 km</w:t>
            </w:r>
          </w:p>
        </w:tc>
        <w:tc>
          <w:tcPr>
            <w:tcW w:w="0" w:type="auto"/>
            <w:hideMark/>
          </w:tcPr>
          <w:p w14:paraId="2108392C"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Blackout duration until two consecutive baseline days</w:t>
            </w:r>
          </w:p>
        </w:tc>
        <w:tc>
          <w:tcPr>
            <w:tcW w:w="0" w:type="auto"/>
            <w:hideMark/>
          </w:tcPr>
          <w:p w14:paraId="5386031E"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High-quality observations; &gt;50% persistent NTL pixels; next-available gap filling; beta-distribution uncertainty; lower/upper bounds</w:t>
            </w:r>
          </w:p>
        </w:tc>
        <w:tc>
          <w:tcPr>
            <w:tcW w:w="0" w:type="auto"/>
            <w:hideMark/>
          </w:tcPr>
          <w:p w14:paraId="573274F2"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Geometric and angular errors acknowledged; spatial averaging and 3-month baseline used to reduce effects</w:t>
            </w:r>
          </w:p>
        </w:tc>
        <w:tc>
          <w:tcPr>
            <w:tcW w:w="0" w:type="auto"/>
            <w:hideMark/>
          </w:tcPr>
          <w:p w14:paraId="45BD3E62"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PowerOutage.US, r² = 0.71 across 134 storm-county pairs</w:t>
            </w:r>
          </w:p>
        </w:tc>
        <w:tc>
          <w:tcPr>
            <w:tcW w:w="0" w:type="auto"/>
            <w:hideMark/>
          </w:tcPr>
          <w:p w14:paraId="080F009C"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Strong global power-system recovery study, but local observability and settlement-specific interpretability are not deeply resolved</w:t>
            </w:r>
          </w:p>
        </w:tc>
      </w:tr>
      <w:tr w:rsidR="009E34A9" w:rsidRPr="007812F9" w14:paraId="16DCEBD7" w14:textId="77777777" w:rsidTr="00D302A8">
        <w:trPr>
          <w:tblCellSpacing w:w="15" w:type="dxa"/>
        </w:trPr>
        <w:tc>
          <w:tcPr>
            <w:tcW w:w="0" w:type="auto"/>
            <w:hideMark/>
          </w:tcPr>
          <w:p w14:paraId="37E7333F"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Zheng et al. (2025)</w:t>
            </w:r>
          </w:p>
        </w:tc>
        <w:tc>
          <w:tcPr>
            <w:tcW w:w="0" w:type="auto"/>
            <w:hideMark/>
          </w:tcPr>
          <w:p w14:paraId="3BA5C8A9"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10 severe U.S. hurricanes, 17 hurricane-state pairs</w:t>
            </w:r>
          </w:p>
        </w:tc>
        <w:tc>
          <w:tcPr>
            <w:tcW w:w="0" w:type="auto"/>
            <w:hideMark/>
          </w:tcPr>
          <w:p w14:paraId="620FCDE4"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Daily Black Marble VNP46A2 BRDF-corrected NTL; VNP46A1 VZA</w:t>
            </w:r>
          </w:p>
        </w:tc>
        <w:tc>
          <w:tcPr>
            <w:tcW w:w="0" w:type="auto"/>
            <w:hideMark/>
          </w:tcPr>
          <w:p w14:paraId="135A7D25"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Impact extent, impact intensity, recovery duration, recovery trajectory, inequality</w:t>
            </w:r>
          </w:p>
        </w:tc>
        <w:tc>
          <w:tcPr>
            <w:tcW w:w="0" w:type="auto"/>
            <w:hideMark/>
          </w:tcPr>
          <w:p w14:paraId="117FBBB4"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MQF masks low-quality observations; BEAST handles irregular gaps; data gaps averaged 30.9%</w:t>
            </w:r>
          </w:p>
        </w:tc>
        <w:tc>
          <w:tcPr>
            <w:tcW w:w="0" w:type="auto"/>
            <w:hideMark/>
          </w:tcPr>
          <w:p w14:paraId="6C5091E6"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Explicit quadratic VZA correction to nadir; angular bias estimated</w:t>
            </w:r>
          </w:p>
        </w:tc>
        <w:tc>
          <w:tcPr>
            <w:tcW w:w="0" w:type="auto"/>
            <w:hideMark/>
          </w:tcPr>
          <w:p w14:paraId="69FA1685"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DOE restoration statistics, Pearson r = 0.86; socioeconomic/FEMA analyses</w:t>
            </w:r>
          </w:p>
        </w:tc>
        <w:tc>
          <w:tcPr>
            <w:tcW w:w="0" w:type="auto"/>
            <w:hideMark/>
          </w:tcPr>
          <w:p w14:paraId="3A3ED0CC"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Strongest methodological comparator; still does not classify “not observable” as distinct from “not recovered”</w:t>
            </w:r>
          </w:p>
        </w:tc>
      </w:tr>
      <w:tr w:rsidR="009E34A9" w:rsidRPr="007812F9" w14:paraId="54B5E81D" w14:textId="77777777" w:rsidTr="00D302A8">
        <w:trPr>
          <w:tblCellSpacing w:w="15" w:type="dxa"/>
        </w:trPr>
        <w:tc>
          <w:tcPr>
            <w:tcW w:w="0" w:type="auto"/>
            <w:hideMark/>
          </w:tcPr>
          <w:p w14:paraId="345066C1"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Mu et al. (2025)</w:t>
            </w:r>
          </w:p>
        </w:tc>
        <w:tc>
          <w:tcPr>
            <w:tcW w:w="0" w:type="auto"/>
            <w:hideMark/>
          </w:tcPr>
          <w:p w14:paraId="0B82D72E"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20 natural and anthropogenic disasters</w:t>
            </w:r>
          </w:p>
        </w:tc>
        <w:tc>
          <w:tcPr>
            <w:tcW w:w="0" w:type="auto"/>
            <w:hideMark/>
          </w:tcPr>
          <w:p w14:paraId="3585A3C1"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Daily Black Marble VNP46A2 lunar BRDF-corrected DNB, 180 days before/179 days after</w:t>
            </w:r>
          </w:p>
        </w:tc>
        <w:tc>
          <w:tcPr>
            <w:tcW w:w="0" w:type="auto"/>
            <w:hideMark/>
          </w:tcPr>
          <w:p w14:paraId="62E7E4C0"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Impact duration, impact intensity, impact severity</w:t>
            </w:r>
          </w:p>
        </w:tc>
        <w:tc>
          <w:tcPr>
            <w:tcW w:w="0" w:type="auto"/>
            <w:hideMark/>
          </w:tcPr>
          <w:p w14:paraId="753F7815"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MQF screening; low-quality observations replaced by polynomial interpolation</w:t>
            </w:r>
          </w:p>
        </w:tc>
        <w:tc>
          <w:tcPr>
            <w:tcW w:w="0" w:type="auto"/>
            <w:hideMark/>
          </w:tcPr>
          <w:p w14:paraId="1EEEB1C5"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Angular effects tested; limited influence at aggregate scale</w:t>
            </w:r>
          </w:p>
        </w:tc>
        <w:tc>
          <w:tcPr>
            <w:tcW w:w="0" w:type="auto"/>
            <w:hideMark/>
          </w:tcPr>
          <w:p w14:paraId="46269ADF"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Internal model validation, placebo tests, model comparisons</w:t>
            </w:r>
          </w:p>
        </w:tc>
        <w:tc>
          <w:tcPr>
            <w:tcW w:w="0" w:type="auto"/>
            <w:hideMark/>
          </w:tcPr>
          <w:p w14:paraId="521041B7" w14:textId="77777777" w:rsidR="009E34A9" w:rsidRPr="007812F9" w:rsidRDefault="009E34A9" w:rsidP="00D302A8">
            <w:pPr>
              <w:rPr>
                <w:rFonts w:ascii="Arial" w:hAnsi="Arial" w:cs="Arial"/>
                <w:color w:val="000000"/>
                <w:sz w:val="16"/>
                <w:szCs w:val="16"/>
              </w:rPr>
            </w:pPr>
            <w:r w:rsidRPr="007812F9">
              <w:rPr>
                <w:rFonts w:ascii="Arial" w:hAnsi="Arial" w:cs="Arial"/>
                <w:color w:val="000000"/>
                <w:sz w:val="16"/>
                <w:szCs w:val="16"/>
              </w:rPr>
              <w:t>Strong counterfactual design, but interpolation and aggregation can hide cloud-driven uncertainty</w:t>
            </w:r>
          </w:p>
        </w:tc>
      </w:tr>
    </w:tbl>
    <w:p w14:paraId="67400B42" w14:textId="77777777" w:rsidR="009E34A9" w:rsidRPr="007812F9" w:rsidRDefault="009E34A9" w:rsidP="009E34A9">
      <w:pPr>
        <w:pStyle w:val="NormalWeb"/>
        <w:rPr>
          <w:rFonts w:ascii="Arial" w:hAnsi="Arial" w:cs="Arial"/>
          <w:color w:val="000000"/>
        </w:rPr>
      </w:pPr>
      <w:r w:rsidRPr="007812F9">
        <w:rPr>
          <w:rFonts w:ascii="Arial" w:hAnsi="Arial" w:cs="Arial"/>
          <w:color w:val="000000"/>
        </w:rPr>
        <w:lastRenderedPageBreak/>
        <w:t>The five studies show a clear methodological progression. Román et al. (2019) demonstrated that daily Black Marble can estimate electricity restoration after a major hurricane when validated against utility records. Zhao et al. (2020) shifted attention toward time-series modelling and confidence-based change detection, showing that seasonal and residual variability must be separated before disaster-induced NTL change is interpreted. Mo et al. (2025) scaled daily NTL blackout-duration analysis globally across tropical cyclones, explicitly incorporating GHSL settlement classes, missing-data uncertainty, and utility validation. Zheng et al. (2025) advanced the field toward pixel-scale, VZA-corrected, inequality-oriented post-hurricane recovery analysis. Mu et al. (2025) addressed the counterfactual baseline problem using synthetic control and daily Black Marble NTL.</w:t>
      </w:r>
    </w:p>
    <w:p w14:paraId="1EFCC92E"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Together, these papers show that the </w:t>
      </w:r>
      <w:r w:rsidRPr="007812F9">
        <w:rPr>
          <w:rFonts w:ascii="Arial" w:hAnsi="Arial" w:cs="Arial"/>
          <w:b/>
          <w:bCs/>
          <w:color w:val="000000"/>
        </w:rPr>
        <w:t>broad research space has matured</w:t>
      </w:r>
      <w:r w:rsidRPr="007812F9">
        <w:rPr>
          <w:rFonts w:ascii="Arial" w:hAnsi="Arial" w:cs="Arial"/>
          <w:color w:val="000000"/>
        </w:rPr>
        <w:t xml:space="preserve">. Daily NTL for disaster impact and power-system recovery is no longer novel by itself. </w:t>
      </w:r>
      <w:r w:rsidRPr="007812F9">
        <w:rPr>
          <w:rFonts w:ascii="Arial" w:hAnsi="Arial" w:cs="Arial"/>
          <w:b/>
          <w:bCs/>
          <w:color w:val="000000"/>
        </w:rPr>
        <w:t>The strongest recent papers already estimate blackout duration, model recovery trajectories, correct or test angular effects, use GHSL or built-up masks, quantify uncertainty, and validate against external utility or recovery data</w:t>
      </w:r>
      <w:r w:rsidRPr="007812F9">
        <w:rPr>
          <w:rFonts w:ascii="Arial" w:hAnsi="Arial" w:cs="Arial"/>
          <w:color w:val="000000"/>
        </w:rPr>
        <w:t>. A new RQ2 therefore needs to avoid broad novelty claims and focus on what remains unresolved.</w:t>
      </w:r>
    </w:p>
    <w:p w14:paraId="62BEBA42"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Three gaps remain technically defensible.</w:t>
      </w:r>
    </w:p>
    <w:p w14:paraId="49FC59EE" w14:textId="7C35DE76" w:rsidR="009E34A9" w:rsidRPr="007812F9" w:rsidRDefault="009E34A9" w:rsidP="009E34A9">
      <w:pPr>
        <w:pStyle w:val="NormalWeb"/>
        <w:rPr>
          <w:rFonts w:ascii="Arial" w:hAnsi="Arial" w:cs="Arial"/>
          <w:color w:val="000000"/>
        </w:rPr>
      </w:pPr>
      <w:r w:rsidRPr="007812F9">
        <w:rPr>
          <w:rFonts w:ascii="Arial" w:hAnsi="Arial" w:cs="Arial"/>
          <w:color w:val="000000"/>
        </w:rPr>
        <w:t xml:space="preserve">First, observability is still mostly treated as a filtering or modelling issue rather than as an interpretability condition. Román et al. (2019) used four-day aggregation to reduce cloud-mask omission; Mo et al. (2025) used next-available gap filling and uncertainty bounds; Zheng et al. (2025) used BEAST to handle irregular gaps; Mu et al. (2025) interpolated low-quality observations. These are valid strategies, but they answer a different question: </w:t>
      </w:r>
      <w:r w:rsidRPr="007812F9">
        <w:rPr>
          <w:rFonts w:ascii="Arial" w:hAnsi="Arial" w:cs="Arial"/>
          <w:b/>
          <w:bCs/>
          <w:color w:val="000000"/>
        </w:rPr>
        <w:t xml:space="preserve">how to continue analysis despite </w:t>
      </w:r>
      <w:r w:rsidR="007812F9" w:rsidRPr="007812F9">
        <w:rPr>
          <w:rFonts w:ascii="Arial" w:hAnsi="Arial" w:cs="Arial"/>
          <w:b/>
          <w:bCs/>
          <w:color w:val="000000"/>
        </w:rPr>
        <w:t>data gap</w:t>
      </w:r>
      <w:r w:rsidRPr="007812F9">
        <w:rPr>
          <w:rFonts w:ascii="Arial" w:hAnsi="Arial" w:cs="Arial"/>
          <w:color w:val="000000"/>
        </w:rPr>
        <w:t xml:space="preserve">. A cloud-impacted tropical study must also answer </w:t>
      </w:r>
      <w:r w:rsidRPr="007812F9">
        <w:rPr>
          <w:rFonts w:ascii="Arial" w:hAnsi="Arial" w:cs="Arial"/>
          <w:b/>
          <w:bCs/>
          <w:color w:val="000000"/>
        </w:rPr>
        <w:t xml:space="preserve">when </w:t>
      </w:r>
      <w:r w:rsidR="007812F9" w:rsidRPr="007812F9">
        <w:rPr>
          <w:rFonts w:ascii="Arial" w:hAnsi="Arial" w:cs="Arial"/>
          <w:b/>
          <w:bCs/>
          <w:color w:val="000000"/>
        </w:rPr>
        <w:t>data gap</w:t>
      </w:r>
      <w:r w:rsidRPr="007812F9">
        <w:rPr>
          <w:rFonts w:ascii="Arial" w:hAnsi="Arial" w:cs="Arial"/>
          <w:b/>
          <w:bCs/>
          <w:color w:val="000000"/>
        </w:rPr>
        <w:t xml:space="preserve"> becomes too severe for recovery metrics to be interpreted</w:t>
      </w:r>
      <w:r w:rsidRPr="007812F9">
        <w:rPr>
          <w:rFonts w:ascii="Arial" w:hAnsi="Arial" w:cs="Arial"/>
          <w:color w:val="000000"/>
        </w:rPr>
        <w:t>. That distinction is central for daily NTL in the Philippines.</w:t>
      </w:r>
    </w:p>
    <w:p w14:paraId="7112E523" w14:textId="54A4882C" w:rsidR="009E34A9" w:rsidRPr="007812F9" w:rsidRDefault="009E34A9" w:rsidP="009E34A9">
      <w:pPr>
        <w:pStyle w:val="NormalWeb"/>
        <w:rPr>
          <w:rFonts w:ascii="Arial" w:hAnsi="Arial" w:cs="Arial"/>
          <w:color w:val="000000"/>
        </w:rPr>
      </w:pPr>
      <w:r w:rsidRPr="007812F9">
        <w:rPr>
          <w:rFonts w:ascii="Arial" w:hAnsi="Arial" w:cs="Arial"/>
          <w:color w:val="000000"/>
        </w:rPr>
        <w:t xml:space="preserve">Second, gap handling can change the disaster signal. Mu et al. (2025) explicitly notes that interpolation can underestimate severity when data gaps occur immediately after disaster onset. Mo et al. (2025) propagates missing-data uncertainty into lower and upper blackout-duration bounds, which is a stronger approach, but still operates at global cluster scale. A Philippines RQ2 can </w:t>
      </w:r>
      <w:r w:rsidRPr="007812F9">
        <w:rPr>
          <w:rFonts w:ascii="Arial" w:hAnsi="Arial" w:cs="Arial"/>
          <w:b/>
          <w:bCs/>
          <w:color w:val="000000"/>
        </w:rPr>
        <w:t xml:space="preserve">make this problem local and product-specific by comparing non-gap-filled DNB-BRDF observations against gap-filled NTL, then testing whether </w:t>
      </w:r>
      <w:r w:rsidR="007812F9" w:rsidRPr="007812F9">
        <w:rPr>
          <w:rFonts w:ascii="Arial" w:hAnsi="Arial" w:cs="Arial"/>
          <w:b/>
          <w:bCs/>
          <w:color w:val="000000"/>
        </w:rPr>
        <w:t>impact</w:t>
      </w:r>
      <w:r w:rsidRPr="007812F9">
        <w:rPr>
          <w:rFonts w:ascii="Arial" w:hAnsi="Arial" w:cs="Arial"/>
          <w:b/>
          <w:bCs/>
          <w:color w:val="000000"/>
        </w:rPr>
        <w:t xml:space="preserve"> magnitude, timing, and recovery duration change materially</w:t>
      </w:r>
      <w:r w:rsidRPr="007812F9">
        <w:rPr>
          <w:rFonts w:ascii="Arial" w:hAnsi="Arial" w:cs="Arial"/>
          <w:color w:val="000000"/>
        </w:rPr>
        <w:t>.</w:t>
      </w:r>
    </w:p>
    <w:p w14:paraId="7CED5C35"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Third, settlement morphology remains a necessary bridge between radiance and recovery interpretation. Mo et al. (2025) uses GHSL high-density, low-density, and rural clusters globally. Zheng et al. (2025) shows that aggregated statistics underestimate heterogeneity and that low-radiance pixels below roughly 4 nW cm</w:t>
      </w:r>
      <w:r w:rsidRPr="007812F9">
        <w:rPr>
          <w:rFonts w:ascii="Cambria Math" w:hAnsi="Cambria Math" w:cs="Cambria Math"/>
          <w:color w:val="000000"/>
        </w:rPr>
        <w:t>⁻</w:t>
      </w:r>
      <w:r w:rsidRPr="007812F9">
        <w:rPr>
          <w:rFonts w:ascii="Arial" w:hAnsi="Arial" w:cs="Arial"/>
          <w:color w:val="000000"/>
        </w:rPr>
        <w:t>² sr</w:t>
      </w:r>
      <w:r w:rsidRPr="007812F9">
        <w:rPr>
          <w:rFonts w:ascii="Cambria Math" w:hAnsi="Cambria Math" w:cs="Cambria Math"/>
          <w:color w:val="000000"/>
        </w:rPr>
        <w:t>⁻</w:t>
      </w:r>
      <w:r w:rsidRPr="007812F9">
        <w:rPr>
          <w:rFonts w:ascii="Arial" w:hAnsi="Arial" w:cs="Arial"/>
          <w:color w:val="000000"/>
        </w:rPr>
        <w:t xml:space="preserve">¹ may be under-detected. These findings indicate that recovery metrics should not be computed uniformly across all land-cover or administrative units. In a Philippines RQ2, GHSL can serve as an admissibility and stratification layer: dense built-up settlement classes are </w:t>
      </w:r>
      <w:r w:rsidRPr="007812F9">
        <w:rPr>
          <w:rFonts w:ascii="Arial" w:hAnsi="Arial" w:cs="Arial"/>
          <w:color w:val="000000"/>
        </w:rPr>
        <w:lastRenderedPageBreak/>
        <w:t>likely to provide more stable and interpretable NTL signals, while rural or low-light classes may require more conservative reporting.</w:t>
      </w:r>
    </w:p>
    <w:p w14:paraId="38F75E0E" w14:textId="77777777" w:rsidR="009E34A9" w:rsidRPr="007812F9" w:rsidRDefault="009E34A9" w:rsidP="009E34A9">
      <w:pPr>
        <w:pStyle w:val="NormalWeb"/>
        <w:rPr>
          <w:rFonts w:ascii="Arial" w:hAnsi="Arial" w:cs="Arial"/>
          <w:b/>
          <w:bCs/>
          <w:color w:val="000000"/>
        </w:rPr>
      </w:pPr>
      <w:r w:rsidRPr="007812F9">
        <w:rPr>
          <w:rFonts w:ascii="Arial" w:hAnsi="Arial" w:cs="Arial"/>
          <w:color w:val="000000"/>
        </w:rPr>
        <w:t xml:space="preserve">The relationship with RQ1 should be framed as a methodological constraint rather than as a validation of a predetermined thesis. RQ1 indicates that </w:t>
      </w:r>
      <w:r w:rsidRPr="007812F9">
        <w:rPr>
          <w:rFonts w:ascii="Arial" w:hAnsi="Arial" w:cs="Arial"/>
          <w:b/>
          <w:bCs/>
          <w:color w:val="000000"/>
        </w:rPr>
        <w:t>daily NTL in cloud-impacted tropical settings can be intermittent, settlement-dependent, and highly sensitive to valid-pixel support</w:t>
      </w:r>
      <w:r w:rsidRPr="007812F9">
        <w:rPr>
          <w:rFonts w:ascii="Arial" w:hAnsi="Arial" w:cs="Arial"/>
          <w:color w:val="000000"/>
        </w:rPr>
        <w:t xml:space="preserve">. The recent literature shows that advanced recovery models exist, but </w:t>
      </w:r>
      <w:r w:rsidRPr="007812F9">
        <w:rPr>
          <w:rFonts w:ascii="Arial" w:hAnsi="Arial" w:cs="Arial"/>
          <w:b/>
          <w:bCs/>
          <w:color w:val="000000"/>
        </w:rPr>
        <w:t>most were developed in settings or scales where the observation process is either better supported, averaged out, gap-filled, or treated through model tolerance</w:t>
      </w:r>
      <w:r w:rsidRPr="007812F9">
        <w:rPr>
          <w:rFonts w:ascii="Arial" w:hAnsi="Arial" w:cs="Arial"/>
          <w:color w:val="000000"/>
        </w:rPr>
        <w:t xml:space="preserve">. The logical RQ2 direction is therefore to test which of </w:t>
      </w:r>
      <w:r w:rsidRPr="007812F9">
        <w:rPr>
          <w:rFonts w:ascii="Arial" w:hAnsi="Arial" w:cs="Arial"/>
          <w:b/>
          <w:bCs/>
          <w:color w:val="000000"/>
        </w:rPr>
        <w:t>these recovery approaches remains valid after applying reliability conditions derived from observability, quality flags, settlement morphology, and electricity-system alignment.</w:t>
      </w:r>
    </w:p>
    <w:p w14:paraId="04E02238" w14:textId="77777777" w:rsidR="009E34A9" w:rsidRPr="007812F9" w:rsidRDefault="009E34A9" w:rsidP="009E34A9">
      <w:pPr>
        <w:pStyle w:val="NormalWeb"/>
        <w:rPr>
          <w:rFonts w:ascii="Arial" w:hAnsi="Arial" w:cs="Arial"/>
          <w:color w:val="000000"/>
        </w:rPr>
      </w:pPr>
      <w:r w:rsidRPr="007812F9">
        <w:rPr>
          <w:rFonts w:ascii="Arial" w:hAnsi="Arial" w:cs="Arial"/>
          <w:color w:val="000000"/>
        </w:rPr>
        <w:t xml:space="preserve">A scientifically defensible RQ2 should therefore proceed as follows: define a trusted DNB-BRDF observation set; quantify observability before fitting recovery models; stratify by GHSL settlement class; </w:t>
      </w:r>
      <w:r w:rsidRPr="007812F9">
        <w:rPr>
          <w:rFonts w:ascii="Arial" w:hAnsi="Arial" w:cs="Arial"/>
          <w:b/>
          <w:bCs/>
          <w:color w:val="000000"/>
        </w:rPr>
        <w:t>compare DNB-BRDF with gap-filled NTL as a diagnostic rather than treating them as interchangeable</w:t>
      </w:r>
      <w:r w:rsidRPr="007812F9">
        <w:rPr>
          <w:rFonts w:ascii="Arial" w:hAnsi="Arial" w:cs="Arial"/>
          <w:color w:val="000000"/>
        </w:rPr>
        <w:t xml:space="preserve">; test VZA/angular sensitivity where daily pixel-scale inference is attempted; choose baseline methods from simple pre-event, BEAST, and synthetic-control approaches based on observed data support; and validate only interpretable NTL recovery signals against NGCP electricity demand. The key distinction is not whether NTL can detect disaster recovery. The relevant question is </w:t>
      </w:r>
      <w:r w:rsidRPr="007812F9">
        <w:rPr>
          <w:rFonts w:ascii="Arial" w:hAnsi="Arial" w:cs="Arial"/>
          <w:b/>
          <w:bCs/>
          <w:color w:val="000000"/>
        </w:rPr>
        <w:t>where daily Black Marble contains enough reliable, settlement-relevant, and electricity-aligned information to support recovery claims in a cloud-impacted tropical disaster setting.</w:t>
      </w:r>
    </w:p>
    <w:p w14:paraId="5A1E0DE2" w14:textId="08CBA731" w:rsidR="007812F9" w:rsidRPr="007812F9" w:rsidRDefault="007812F9" w:rsidP="007812F9">
      <w:pPr>
        <w:pStyle w:val="Heading1"/>
        <w:rPr>
          <w:rStyle w:val="Emphasis"/>
          <w:b/>
          <w:bCs/>
          <w:i w:val="0"/>
          <w:iCs w:val="0"/>
          <w:color w:val="0432FF"/>
        </w:rPr>
      </w:pPr>
      <w:r w:rsidRPr="007812F9">
        <w:rPr>
          <w:rStyle w:val="Emphasis"/>
          <w:b/>
          <w:bCs/>
          <w:i w:val="0"/>
          <w:iCs w:val="0"/>
          <w:color w:val="0432FF"/>
        </w:rPr>
        <w:t xml:space="preserve">Methodological-leading papers </w:t>
      </w:r>
    </w:p>
    <w:p w14:paraId="4E078060" w14:textId="77777777" w:rsidR="007812F9" w:rsidRPr="007812F9" w:rsidRDefault="007812F9" w:rsidP="007812F9">
      <w:pPr>
        <w:pStyle w:val="Heading2"/>
        <w:rPr>
          <w:rStyle w:val="Emphasis"/>
          <w:b/>
          <w:bCs/>
          <w:i w:val="0"/>
          <w:iCs w:val="0"/>
          <w:color w:val="0432FF"/>
        </w:rPr>
      </w:pPr>
      <w:r w:rsidRPr="007812F9">
        <w:rPr>
          <w:rStyle w:val="Emphasis"/>
          <w:b/>
          <w:bCs/>
          <w:i w:val="0"/>
          <w:iCs w:val="0"/>
          <w:color w:val="0432FF"/>
        </w:rPr>
        <w:t>Comparative overview of the methodological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063"/>
        <w:gridCol w:w="898"/>
        <w:gridCol w:w="808"/>
        <w:gridCol w:w="1289"/>
        <w:gridCol w:w="1054"/>
        <w:gridCol w:w="1114"/>
        <w:gridCol w:w="1070"/>
        <w:gridCol w:w="1118"/>
      </w:tblGrid>
      <w:tr w:rsidR="007812F9" w:rsidRPr="007812F9" w14:paraId="4F4EFFF3" w14:textId="77777777" w:rsidTr="007812F9">
        <w:trPr>
          <w:tblHeader/>
          <w:tblCellSpacing w:w="15" w:type="dxa"/>
        </w:trPr>
        <w:tc>
          <w:tcPr>
            <w:tcW w:w="0" w:type="auto"/>
            <w:hideMark/>
          </w:tcPr>
          <w:p w14:paraId="10D4C496"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Paper</w:t>
            </w:r>
          </w:p>
        </w:tc>
        <w:tc>
          <w:tcPr>
            <w:tcW w:w="0" w:type="auto"/>
            <w:hideMark/>
          </w:tcPr>
          <w:p w14:paraId="4D865C93"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Core problem</w:t>
            </w:r>
          </w:p>
        </w:tc>
        <w:tc>
          <w:tcPr>
            <w:tcW w:w="0" w:type="auto"/>
            <w:hideMark/>
          </w:tcPr>
          <w:p w14:paraId="369A4214"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Product focus</w:t>
            </w:r>
          </w:p>
        </w:tc>
        <w:tc>
          <w:tcPr>
            <w:tcW w:w="0" w:type="auto"/>
            <w:hideMark/>
          </w:tcPr>
          <w:p w14:paraId="56E5C877"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Daily?</w:t>
            </w:r>
          </w:p>
        </w:tc>
        <w:tc>
          <w:tcPr>
            <w:tcW w:w="0" w:type="auto"/>
            <w:hideMark/>
          </w:tcPr>
          <w:p w14:paraId="484856D8"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Main methodological contribution</w:t>
            </w:r>
          </w:p>
        </w:tc>
        <w:tc>
          <w:tcPr>
            <w:tcW w:w="0" w:type="auto"/>
            <w:hideMark/>
          </w:tcPr>
          <w:p w14:paraId="1A387F9A"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Connection to the five application papers</w:t>
            </w:r>
          </w:p>
        </w:tc>
        <w:tc>
          <w:tcPr>
            <w:tcW w:w="0" w:type="auto"/>
            <w:hideMark/>
          </w:tcPr>
          <w:p w14:paraId="0483F657"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Observability handling</w:t>
            </w:r>
          </w:p>
        </w:tc>
        <w:tc>
          <w:tcPr>
            <w:tcW w:w="0" w:type="auto"/>
            <w:hideMark/>
          </w:tcPr>
          <w:p w14:paraId="558E0E58"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VZA / anisotropy</w:t>
            </w:r>
          </w:p>
        </w:tc>
        <w:tc>
          <w:tcPr>
            <w:tcW w:w="0" w:type="auto"/>
            <w:hideMark/>
          </w:tcPr>
          <w:p w14:paraId="45C91C49" w14:textId="77777777" w:rsidR="007812F9" w:rsidRPr="007812F9" w:rsidRDefault="007812F9" w:rsidP="007812F9">
            <w:pPr>
              <w:rPr>
                <w:rFonts w:ascii="Arial" w:hAnsi="Arial" w:cs="Arial"/>
                <w:b/>
                <w:bCs/>
                <w:color w:val="000000"/>
                <w:sz w:val="18"/>
                <w:szCs w:val="18"/>
              </w:rPr>
            </w:pPr>
            <w:r w:rsidRPr="007812F9">
              <w:rPr>
                <w:rFonts w:ascii="Arial" w:hAnsi="Arial" w:cs="Arial"/>
                <w:b/>
                <w:bCs/>
                <w:color w:val="000000"/>
                <w:sz w:val="18"/>
                <w:szCs w:val="18"/>
              </w:rPr>
              <w:t>Validation / evaluation</w:t>
            </w:r>
          </w:p>
        </w:tc>
      </w:tr>
      <w:tr w:rsidR="007812F9" w:rsidRPr="007812F9" w14:paraId="7C2C2B5B" w14:textId="77777777" w:rsidTr="007812F9">
        <w:trPr>
          <w:tblCellSpacing w:w="15" w:type="dxa"/>
        </w:trPr>
        <w:tc>
          <w:tcPr>
            <w:tcW w:w="0" w:type="auto"/>
            <w:hideMark/>
          </w:tcPr>
          <w:p w14:paraId="24BDE88B" w14:textId="77777777" w:rsidR="007812F9" w:rsidRPr="007812F9" w:rsidRDefault="007812F9" w:rsidP="007812F9">
            <w:pPr>
              <w:rPr>
                <w:rFonts w:ascii="Arial" w:hAnsi="Arial" w:cs="Arial"/>
                <w:color w:val="000000"/>
                <w:sz w:val="16"/>
                <w:szCs w:val="16"/>
              </w:rPr>
            </w:pPr>
            <w:r w:rsidRPr="007812F9">
              <w:rPr>
                <w:rStyle w:val="Strong"/>
                <w:rFonts w:ascii="Arial" w:hAnsi="Arial" w:cs="Arial"/>
                <w:color w:val="000000"/>
                <w:sz w:val="16"/>
                <w:szCs w:val="16"/>
              </w:rPr>
              <w:t>Román et al. (2018)</w:t>
            </w:r>
          </w:p>
        </w:tc>
        <w:tc>
          <w:tcPr>
            <w:tcW w:w="0" w:type="auto"/>
            <w:hideMark/>
          </w:tcPr>
          <w:p w14:paraId="248ED91D"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Product correction and daily NTL standardization</w:t>
            </w:r>
          </w:p>
        </w:tc>
        <w:tc>
          <w:tcPr>
            <w:tcW w:w="0" w:type="auto"/>
            <w:hideMark/>
          </w:tcPr>
          <w:p w14:paraId="172C055B"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NASA Black Marble VNP46 suite</w:t>
            </w:r>
          </w:p>
        </w:tc>
        <w:tc>
          <w:tcPr>
            <w:tcW w:w="0" w:type="auto"/>
            <w:hideMark/>
          </w:tcPr>
          <w:p w14:paraId="0ED6230B"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Yes</w:t>
            </w:r>
          </w:p>
        </w:tc>
        <w:tc>
          <w:tcPr>
            <w:tcW w:w="0" w:type="auto"/>
            <w:hideMark/>
          </w:tcPr>
          <w:p w14:paraId="480B0C33"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Lunar, atmospheric, terrain, snow, stray-light, and BRDF correction framework</w:t>
            </w:r>
          </w:p>
        </w:tc>
        <w:tc>
          <w:tcPr>
            <w:tcW w:w="0" w:type="auto"/>
            <w:hideMark/>
          </w:tcPr>
          <w:p w14:paraId="6ADFEB00"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Enables Román et al. (2019), Mo et al. (2025), Zheng et al. (2025), and Mu et al. (2025) to use daily Black Marble as the core signal</w:t>
            </w:r>
          </w:p>
        </w:tc>
        <w:tc>
          <w:tcPr>
            <w:tcW w:w="0" w:type="auto"/>
            <w:hideMark/>
          </w:tcPr>
          <w:p w14:paraId="2B473D1D"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Product-level quality framework; does not define application-specific admissibility thresholds</w:t>
            </w:r>
          </w:p>
        </w:tc>
        <w:tc>
          <w:tcPr>
            <w:tcW w:w="0" w:type="auto"/>
            <w:hideMark/>
          </w:tcPr>
          <w:p w14:paraId="67003A67"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BRDF / geometry correction at product level</w:t>
            </w:r>
          </w:p>
        </w:tc>
        <w:tc>
          <w:tcPr>
            <w:tcW w:w="0" w:type="auto"/>
            <w:hideMark/>
          </w:tcPr>
          <w:p w14:paraId="0ECD7C74"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Product-development evaluation and later applied uptake</w:t>
            </w:r>
          </w:p>
        </w:tc>
      </w:tr>
      <w:tr w:rsidR="007812F9" w:rsidRPr="007812F9" w14:paraId="01D591B9" w14:textId="77777777" w:rsidTr="007812F9">
        <w:trPr>
          <w:tblCellSpacing w:w="15" w:type="dxa"/>
        </w:trPr>
        <w:tc>
          <w:tcPr>
            <w:tcW w:w="0" w:type="auto"/>
            <w:hideMark/>
          </w:tcPr>
          <w:p w14:paraId="45882B42" w14:textId="77777777" w:rsidR="007812F9" w:rsidRPr="007812F9" w:rsidRDefault="007812F9" w:rsidP="007812F9">
            <w:pPr>
              <w:rPr>
                <w:rFonts w:ascii="Arial" w:hAnsi="Arial" w:cs="Arial"/>
                <w:color w:val="000000"/>
                <w:sz w:val="16"/>
                <w:szCs w:val="16"/>
              </w:rPr>
            </w:pPr>
            <w:r w:rsidRPr="007812F9">
              <w:rPr>
                <w:rStyle w:val="Strong"/>
                <w:rFonts w:ascii="Arial" w:hAnsi="Arial" w:cs="Arial"/>
                <w:color w:val="000000"/>
                <w:sz w:val="16"/>
                <w:szCs w:val="16"/>
              </w:rPr>
              <w:t>Small (2021)</w:t>
            </w:r>
          </w:p>
        </w:tc>
        <w:tc>
          <w:tcPr>
            <w:tcW w:w="0" w:type="auto"/>
            <w:hideMark/>
          </w:tcPr>
          <w:p w14:paraId="13F05DB8"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Temporal instability and low-light variability</w:t>
            </w:r>
          </w:p>
        </w:tc>
        <w:tc>
          <w:tcPr>
            <w:tcW w:w="0" w:type="auto"/>
            <w:hideMark/>
          </w:tcPr>
          <w:p w14:paraId="07480E0D"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VIIRS night light</w:t>
            </w:r>
          </w:p>
        </w:tc>
        <w:tc>
          <w:tcPr>
            <w:tcW w:w="0" w:type="auto"/>
            <w:hideMark/>
          </w:tcPr>
          <w:p w14:paraId="724FB0A8"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Yes / monthly summaries</w:t>
            </w:r>
          </w:p>
        </w:tc>
        <w:tc>
          <w:tcPr>
            <w:tcW w:w="0" w:type="auto"/>
            <w:hideMark/>
          </w:tcPr>
          <w:p w14:paraId="7639161D"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 xml:space="preserve">Statistical characterization of heteroskedasticity, low-light instability, and </w:t>
            </w:r>
            <w:r w:rsidRPr="007812F9">
              <w:rPr>
                <w:rFonts w:ascii="Arial" w:hAnsi="Arial" w:cs="Arial"/>
                <w:color w:val="000000"/>
                <w:sz w:val="16"/>
                <w:szCs w:val="16"/>
              </w:rPr>
              <w:lastRenderedPageBreak/>
              <w:t>spatial-temporal variability</w:t>
            </w:r>
          </w:p>
        </w:tc>
        <w:tc>
          <w:tcPr>
            <w:tcW w:w="0" w:type="auto"/>
            <w:hideMark/>
          </w:tcPr>
          <w:p w14:paraId="071244C2"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lastRenderedPageBreak/>
              <w:t xml:space="preserve">Explains why Zhao et al. (2020), Zheng et al. (2025), and Mu et al. </w:t>
            </w:r>
            <w:r w:rsidRPr="007812F9">
              <w:rPr>
                <w:rFonts w:ascii="Arial" w:hAnsi="Arial" w:cs="Arial"/>
                <w:color w:val="000000"/>
                <w:sz w:val="16"/>
                <w:szCs w:val="16"/>
              </w:rPr>
              <w:lastRenderedPageBreak/>
              <w:t>(2025) need decomposition, modelling, masking, or thresholds before interpreting NTL change</w:t>
            </w:r>
          </w:p>
        </w:tc>
        <w:tc>
          <w:tcPr>
            <w:tcW w:w="0" w:type="auto"/>
            <w:hideMark/>
          </w:tcPr>
          <w:p w14:paraId="62E48171"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lastRenderedPageBreak/>
              <w:t>Indirect; instability diagnosis rather than explicit cloud-</w:t>
            </w:r>
            <w:r w:rsidRPr="007812F9">
              <w:rPr>
                <w:rFonts w:ascii="Arial" w:hAnsi="Arial" w:cs="Arial"/>
                <w:color w:val="000000"/>
                <w:sz w:val="16"/>
                <w:szCs w:val="16"/>
              </w:rPr>
              <w:lastRenderedPageBreak/>
              <w:t>screening framework</w:t>
            </w:r>
          </w:p>
        </w:tc>
        <w:tc>
          <w:tcPr>
            <w:tcW w:w="0" w:type="auto"/>
            <w:hideMark/>
          </w:tcPr>
          <w:p w14:paraId="7346CA61"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lastRenderedPageBreak/>
              <w:t>Not explicit VZA modelling</w:t>
            </w:r>
          </w:p>
        </w:tc>
        <w:tc>
          <w:tcPr>
            <w:tcW w:w="0" w:type="auto"/>
            <w:hideMark/>
          </w:tcPr>
          <w:p w14:paraId="7DCECE84"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Statistical characterization</w:t>
            </w:r>
          </w:p>
        </w:tc>
      </w:tr>
      <w:tr w:rsidR="007812F9" w:rsidRPr="007812F9" w14:paraId="536DE92B" w14:textId="77777777" w:rsidTr="007812F9">
        <w:trPr>
          <w:tblCellSpacing w:w="15" w:type="dxa"/>
        </w:trPr>
        <w:tc>
          <w:tcPr>
            <w:tcW w:w="0" w:type="auto"/>
            <w:hideMark/>
          </w:tcPr>
          <w:p w14:paraId="79440BBE" w14:textId="77777777" w:rsidR="007812F9" w:rsidRPr="007812F9" w:rsidRDefault="007812F9" w:rsidP="007812F9">
            <w:pPr>
              <w:rPr>
                <w:rFonts w:ascii="Arial" w:hAnsi="Arial" w:cs="Arial"/>
                <w:color w:val="000000"/>
                <w:sz w:val="16"/>
                <w:szCs w:val="16"/>
              </w:rPr>
            </w:pPr>
            <w:r w:rsidRPr="007812F9">
              <w:rPr>
                <w:rStyle w:val="Strong"/>
                <w:rFonts w:ascii="Arial" w:hAnsi="Arial" w:cs="Arial"/>
                <w:color w:val="000000"/>
                <w:sz w:val="16"/>
                <w:szCs w:val="16"/>
              </w:rPr>
              <w:t>Chakraborty and Stokes (2023)</w:t>
            </w:r>
          </w:p>
        </w:tc>
        <w:tc>
          <w:tcPr>
            <w:tcW w:w="0" w:type="auto"/>
            <w:hideMark/>
          </w:tcPr>
          <w:p w14:paraId="4283784E"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Adaptive baseline modelling for NTL change detection</w:t>
            </w:r>
          </w:p>
        </w:tc>
        <w:tc>
          <w:tcPr>
            <w:tcW w:w="0" w:type="auto"/>
            <w:hideMark/>
          </w:tcPr>
          <w:p w14:paraId="48AB118A"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Daily NTL time series / Black Marble-oriented workflow</w:t>
            </w:r>
          </w:p>
        </w:tc>
        <w:tc>
          <w:tcPr>
            <w:tcW w:w="0" w:type="auto"/>
            <w:hideMark/>
          </w:tcPr>
          <w:p w14:paraId="65CCC6BA"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Yes</w:t>
            </w:r>
          </w:p>
        </w:tc>
        <w:tc>
          <w:tcPr>
            <w:tcW w:w="0" w:type="auto"/>
            <w:hideMark/>
          </w:tcPr>
          <w:p w14:paraId="7BF0C77A"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Neural forecasting and anomaly detection using expected NTL trajectories</w:t>
            </w:r>
          </w:p>
        </w:tc>
        <w:tc>
          <w:tcPr>
            <w:tcW w:w="0" w:type="auto"/>
            <w:hideMark/>
          </w:tcPr>
          <w:p w14:paraId="5F218177"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Anticipates Mo et al. (2025)’s adaptive blackout detection and complements Mu et al. (2025)’s counterfactual BAU estimation</w:t>
            </w:r>
          </w:p>
        </w:tc>
        <w:tc>
          <w:tcPr>
            <w:tcW w:w="0" w:type="auto"/>
            <w:hideMark/>
          </w:tcPr>
          <w:p w14:paraId="23708C85"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Input quality remains a prerequisite; observability is not the main contribution</w:t>
            </w:r>
          </w:p>
        </w:tc>
        <w:tc>
          <w:tcPr>
            <w:tcW w:w="0" w:type="auto"/>
            <w:hideMark/>
          </w:tcPr>
          <w:p w14:paraId="2FCB9F70"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Not central</w:t>
            </w:r>
          </w:p>
        </w:tc>
        <w:tc>
          <w:tcPr>
            <w:tcW w:w="0" w:type="auto"/>
            <w:hideMark/>
          </w:tcPr>
          <w:p w14:paraId="31B04C5A"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Retrospective event-based evaluation</w:t>
            </w:r>
          </w:p>
        </w:tc>
      </w:tr>
      <w:tr w:rsidR="007812F9" w:rsidRPr="007812F9" w14:paraId="3E395A43" w14:textId="77777777" w:rsidTr="007812F9">
        <w:trPr>
          <w:tblCellSpacing w:w="15" w:type="dxa"/>
        </w:trPr>
        <w:tc>
          <w:tcPr>
            <w:tcW w:w="0" w:type="auto"/>
            <w:hideMark/>
          </w:tcPr>
          <w:p w14:paraId="3A96F39C" w14:textId="77777777" w:rsidR="007812F9" w:rsidRPr="007812F9" w:rsidRDefault="007812F9" w:rsidP="007812F9">
            <w:pPr>
              <w:rPr>
                <w:rFonts w:ascii="Arial" w:hAnsi="Arial" w:cs="Arial"/>
                <w:color w:val="000000"/>
                <w:sz w:val="16"/>
                <w:szCs w:val="16"/>
              </w:rPr>
            </w:pPr>
            <w:r w:rsidRPr="007812F9">
              <w:rPr>
                <w:rStyle w:val="Strong"/>
                <w:rFonts w:ascii="Arial" w:hAnsi="Arial" w:cs="Arial"/>
                <w:color w:val="000000"/>
                <w:sz w:val="16"/>
                <w:szCs w:val="16"/>
              </w:rPr>
              <w:t>Thomas et al. (2024)</w:t>
            </w:r>
          </w:p>
        </w:tc>
        <w:tc>
          <w:tcPr>
            <w:tcW w:w="0" w:type="auto"/>
            <w:hideMark/>
          </w:tcPr>
          <w:p w14:paraId="4C0C6B1B"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Preprocessing sensitivity in hurricane damage inference</w:t>
            </w:r>
          </w:p>
        </w:tc>
        <w:tc>
          <w:tcPr>
            <w:tcW w:w="0" w:type="auto"/>
            <w:hideMark/>
          </w:tcPr>
          <w:p w14:paraId="1375D6EF"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VSC-NTL and VNP46A2</w:t>
            </w:r>
          </w:p>
        </w:tc>
        <w:tc>
          <w:tcPr>
            <w:tcW w:w="0" w:type="auto"/>
            <w:hideMark/>
          </w:tcPr>
          <w:p w14:paraId="2AC3466C"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VNP46A2 daily, aggregated to monthly median</w:t>
            </w:r>
          </w:p>
        </w:tc>
        <w:tc>
          <w:tcPr>
            <w:tcW w:w="0" w:type="auto"/>
            <w:hideMark/>
          </w:tcPr>
          <w:p w14:paraId="20716E89"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Tests how built masking, quality filtering, imputation, and thresholding alter disaster-damage relationships</w:t>
            </w:r>
          </w:p>
        </w:tc>
        <w:tc>
          <w:tcPr>
            <w:tcW w:w="0" w:type="auto"/>
            <w:hideMark/>
          </w:tcPr>
          <w:p w14:paraId="3AAA3451"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Provides empirical support for treating product choice and imputation as sensitivity dimensions in Román et al. (2019), Mo et al. (2025), Zheng et al. (2025), and Mu et al. (2025)</w:t>
            </w:r>
          </w:p>
        </w:tc>
        <w:tc>
          <w:tcPr>
            <w:tcW w:w="0" w:type="auto"/>
            <w:hideMark/>
          </w:tcPr>
          <w:p w14:paraId="2EA5EA42"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Explicit quality filtering and imputation</w:t>
            </w:r>
          </w:p>
        </w:tc>
        <w:tc>
          <w:tcPr>
            <w:tcW w:w="0" w:type="auto"/>
            <w:hideMark/>
          </w:tcPr>
          <w:p w14:paraId="2E18AFDB"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No explicit VZA/anisotropy model</w:t>
            </w:r>
          </w:p>
        </w:tc>
        <w:tc>
          <w:tcPr>
            <w:tcW w:w="0" w:type="auto"/>
            <w:hideMark/>
          </w:tcPr>
          <w:p w14:paraId="041F4226"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Correlation with zip-code damage ratios</w:t>
            </w:r>
          </w:p>
        </w:tc>
      </w:tr>
      <w:tr w:rsidR="007812F9" w:rsidRPr="007812F9" w14:paraId="1FEC6C09" w14:textId="77777777" w:rsidTr="007812F9">
        <w:trPr>
          <w:tblCellSpacing w:w="15" w:type="dxa"/>
        </w:trPr>
        <w:tc>
          <w:tcPr>
            <w:tcW w:w="0" w:type="auto"/>
            <w:hideMark/>
          </w:tcPr>
          <w:p w14:paraId="3948877E" w14:textId="77777777" w:rsidR="007812F9" w:rsidRPr="007812F9" w:rsidRDefault="007812F9" w:rsidP="007812F9">
            <w:pPr>
              <w:rPr>
                <w:rFonts w:ascii="Arial" w:hAnsi="Arial" w:cs="Arial"/>
                <w:color w:val="000000"/>
                <w:sz w:val="16"/>
                <w:szCs w:val="16"/>
              </w:rPr>
            </w:pPr>
            <w:r w:rsidRPr="007812F9">
              <w:rPr>
                <w:rStyle w:val="Strong"/>
                <w:rFonts w:ascii="Arial" w:hAnsi="Arial" w:cs="Arial"/>
                <w:color w:val="000000"/>
                <w:sz w:val="16"/>
                <w:szCs w:val="16"/>
              </w:rPr>
              <w:t>Tong (2025)</w:t>
            </w:r>
          </w:p>
        </w:tc>
        <w:tc>
          <w:tcPr>
            <w:tcW w:w="0" w:type="auto"/>
            <w:hideMark/>
          </w:tcPr>
          <w:p w14:paraId="2E82CDBB"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Directionality of artificial-light emission</w:t>
            </w:r>
          </w:p>
        </w:tc>
        <w:tc>
          <w:tcPr>
            <w:tcW w:w="0" w:type="auto"/>
            <w:hideMark/>
          </w:tcPr>
          <w:p w14:paraId="6B1B5A6B"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VIIRS-DNB multi-angle observations</w:t>
            </w:r>
          </w:p>
        </w:tc>
        <w:tc>
          <w:tcPr>
            <w:tcW w:w="0" w:type="auto"/>
            <w:hideMark/>
          </w:tcPr>
          <w:p w14:paraId="1368B2C2"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Repeated daily/multi-overflight geometry</w:t>
            </w:r>
          </w:p>
        </w:tc>
        <w:tc>
          <w:tcPr>
            <w:tcW w:w="0" w:type="auto"/>
            <w:hideMark/>
          </w:tcPr>
          <w:p w14:paraId="329E87EE"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Quantifies land-use-dependent anisotropy and angular emission behaviour</w:t>
            </w:r>
          </w:p>
        </w:tc>
        <w:tc>
          <w:tcPr>
            <w:tcW w:w="0" w:type="auto"/>
            <w:hideMark/>
          </w:tcPr>
          <w:p w14:paraId="06D18BEF"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Explains why Zheng et al. (2025)’s VZA correction matters and why Mo et al. (2025)’s angular-error discussion should not be treated as a minor caveat</w:t>
            </w:r>
          </w:p>
        </w:tc>
        <w:tc>
          <w:tcPr>
            <w:tcW w:w="0" w:type="auto"/>
            <w:hideMark/>
          </w:tcPr>
          <w:p w14:paraId="2FF1F477"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Strict astronomical night, moon-below-horizon, cloud-clear filtering</w:t>
            </w:r>
          </w:p>
        </w:tc>
        <w:tc>
          <w:tcPr>
            <w:tcW w:w="0" w:type="auto"/>
            <w:hideMark/>
          </w:tcPr>
          <w:p w14:paraId="703C4C40"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Central research focus</w:t>
            </w:r>
          </w:p>
        </w:tc>
        <w:tc>
          <w:tcPr>
            <w:tcW w:w="0" w:type="auto"/>
            <w:hideMark/>
          </w:tcPr>
          <w:p w14:paraId="544616FB" w14:textId="77777777" w:rsidR="007812F9" w:rsidRPr="007812F9" w:rsidRDefault="007812F9" w:rsidP="007812F9">
            <w:pPr>
              <w:rPr>
                <w:rFonts w:ascii="Arial" w:hAnsi="Arial" w:cs="Arial"/>
                <w:color w:val="000000"/>
                <w:sz w:val="16"/>
                <w:szCs w:val="16"/>
              </w:rPr>
            </w:pPr>
            <w:r w:rsidRPr="007812F9">
              <w:rPr>
                <w:rFonts w:ascii="Arial" w:hAnsi="Arial" w:cs="Arial"/>
                <w:color w:val="000000"/>
                <w:sz w:val="16"/>
                <w:szCs w:val="16"/>
              </w:rPr>
              <w:t>Internal consistency across land-use and brightness classes</w:t>
            </w:r>
          </w:p>
        </w:tc>
      </w:tr>
    </w:tbl>
    <w:p w14:paraId="4BF9485F"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 xml:space="preserve">The methodological and application literatures now converge on the same point: daily NTL recovery metrics are conditional products. Román et al. (2019), Mo et al. (2025), Zheng et al. (2025), and Mu et al. (2025) demonstrate that daily Black Marble can be transformed into outage, recovery, impact-duration, and counterfactual-impact metrics. Román et al. (2018), Small (2021), Thomas et al. (2024), and Tong (2025) explain why these metrics cannot be interpreted without correction, filtering, stability checks, and </w:t>
      </w:r>
      <w:r w:rsidRPr="007812F9">
        <w:rPr>
          <w:rFonts w:ascii="Arial" w:hAnsi="Arial" w:cs="Arial"/>
          <w:color w:val="000000"/>
        </w:rPr>
        <w:lastRenderedPageBreak/>
        <w:t>geometry awareness. Zhao et al. (2020) sits between these groups: it is an application paper, but its main contribution is methodological because it shows that seasonal and residual components must be removed before hurricane-related NTL decline can be detected.</w:t>
      </w:r>
    </w:p>
    <w:p w14:paraId="61649C62" w14:textId="3CB150E2" w:rsidR="007812F9" w:rsidRPr="00276CDF" w:rsidRDefault="00276CDF" w:rsidP="007812F9">
      <w:pPr>
        <w:pStyle w:val="Heading2"/>
        <w:rPr>
          <w:rFonts w:ascii="Arial" w:hAnsi="Arial" w:cs="Arial"/>
          <w:b/>
          <w:bCs/>
          <w:color w:val="0432FF"/>
        </w:rPr>
      </w:pPr>
      <w:r>
        <w:rPr>
          <w:rFonts w:ascii="Arial" w:hAnsi="Arial" w:cs="Arial"/>
          <w:b/>
          <w:bCs/>
          <w:color w:val="0432FF"/>
        </w:rPr>
        <w:t xml:space="preserve">I. </w:t>
      </w:r>
      <w:r w:rsidR="007812F9" w:rsidRPr="00276CDF">
        <w:rPr>
          <w:rFonts w:ascii="Arial" w:hAnsi="Arial" w:cs="Arial"/>
          <w:b/>
          <w:bCs/>
          <w:color w:val="0432FF"/>
        </w:rPr>
        <w:t>Román et al. —</w:t>
      </w:r>
      <w:r w:rsidR="007812F9" w:rsidRPr="00276CDF">
        <w:rPr>
          <w:rStyle w:val="apple-converted-space"/>
          <w:rFonts w:ascii="Arial" w:hAnsi="Arial" w:cs="Arial"/>
          <w:b/>
          <w:bCs/>
          <w:color w:val="0432FF"/>
        </w:rPr>
        <w:t> </w:t>
      </w:r>
      <w:r w:rsidR="007812F9" w:rsidRPr="00276CDF">
        <w:rPr>
          <w:rStyle w:val="Emphasis"/>
          <w:rFonts w:ascii="Arial" w:hAnsi="Arial" w:cs="Arial"/>
          <w:b/>
          <w:bCs/>
          <w:color w:val="0432FF"/>
        </w:rPr>
        <w:t>NASA’s Black Marble nighttime lights product suite</w:t>
      </w:r>
    </w:p>
    <w:p w14:paraId="6BD04E50"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Román et al. (2018) established the product foundation for most recent daily NTL disaster applications. The Black Marble suite was designed to transform raw VIIRS DNB observations into corrected nighttime lights by addressing lunar illumination, atmospheric effects, terrain, snow, vegetation, stray light, and BRDF-related artefacts. The product suite also provides quality layers that allow users to distinguish higher-quality observations from observations affected by clouds, snow, or other retrieval problems.</w:t>
      </w:r>
    </w:p>
    <w:p w14:paraId="315956CA"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direct link to the application literature is clear. Román et al. (2019) relied on Black Marble to estimate electricity restoration in Puerto Rico after Hurricane Maria. Mo et al. (2025) used VNP46A2 to detect blackout duration after 396 tropical cyclones globally. Zheng et al. (2025) used the BRDF-corrected VNP46A2 radiance layer and Mandatory Quality Flag to estimate post-hurricane recovery at built-up pixel scale. Mu et al. (2025) used lunar BRDF-corrected VNP46A2 radiance and the Mandatory Quality Flag to construct synthetic-control disaster impact metrics.</w:t>
      </w:r>
    </w:p>
    <w:p w14:paraId="4B63434C"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methodological implication is that product correction is necessary but not sufficient. Black Marble reduces major artefacts, but later studies show that daily NTL can still be affected by data gaps, view angle, low-light instability, and product-specific preprocessing choices. Román et al. (2019) still needed four-day aggregation to reduce cloud-mask omission errors. Mo et al. (2025) still needed missing-data bounds and next-available gap filling. Zheng et al. (2025) still corrected VZA and used BEAST because daily observations had substantial gaps and temporal variation. Mu et al. (2025) still interpolated low-quality observations and tested model robustness.</w:t>
      </w:r>
    </w:p>
    <w:p w14:paraId="3A199220"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For RQ2, Román et al. (2018) supports using Black Marble as the product basis, but not treating Black Marble correction as equivalent to interpretability. The primary analytical signal should remain the observed BRDF-corrected radiance, while gap-filled layers should be treated as diagnostic comparisons because they may conceal whether the ground was actually observed.</w:t>
      </w:r>
    </w:p>
    <w:p w14:paraId="4D324390" w14:textId="5FEF9B8D" w:rsidR="007812F9" w:rsidRPr="00276CDF" w:rsidRDefault="00276CDF" w:rsidP="007812F9">
      <w:pPr>
        <w:pStyle w:val="Heading2"/>
        <w:rPr>
          <w:rFonts w:ascii="Arial" w:hAnsi="Arial" w:cs="Arial"/>
          <w:b/>
          <w:bCs/>
          <w:color w:val="0432FF"/>
        </w:rPr>
      </w:pPr>
      <w:r>
        <w:rPr>
          <w:rFonts w:ascii="Arial" w:hAnsi="Arial" w:cs="Arial"/>
          <w:b/>
          <w:bCs/>
          <w:color w:val="0432FF"/>
        </w:rPr>
        <w:t xml:space="preserve">II. </w:t>
      </w:r>
      <w:r w:rsidR="007812F9" w:rsidRPr="00276CDF">
        <w:rPr>
          <w:rFonts w:ascii="Arial" w:hAnsi="Arial" w:cs="Arial"/>
          <w:b/>
          <w:bCs/>
          <w:color w:val="0432FF"/>
        </w:rPr>
        <w:t>Small —</w:t>
      </w:r>
      <w:r w:rsidR="007812F9" w:rsidRPr="00276CDF">
        <w:rPr>
          <w:rStyle w:val="apple-converted-space"/>
          <w:rFonts w:ascii="Arial" w:hAnsi="Arial" w:cs="Arial"/>
          <w:b/>
          <w:bCs/>
          <w:color w:val="0432FF"/>
        </w:rPr>
        <w:t> </w:t>
      </w:r>
      <w:r w:rsidR="007812F9" w:rsidRPr="00276CDF">
        <w:rPr>
          <w:rStyle w:val="Emphasis"/>
          <w:rFonts w:ascii="Arial" w:hAnsi="Arial" w:cs="Arial"/>
          <w:b/>
          <w:bCs/>
          <w:color w:val="0432FF"/>
        </w:rPr>
        <w:t>Spatiotemporal Characterization of VIIRS Night Light</w:t>
      </w:r>
    </w:p>
    <w:p w14:paraId="1C56C827"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Small (2021) is important because it addresses a problem that many disaster applications encounter but do not always foreground: VIIRS night lights are heteroskedastic</w:t>
      </w:r>
      <w:r w:rsidRPr="00276CDF">
        <w:rPr>
          <w:rFonts w:ascii="Arial" w:hAnsi="Arial" w:cs="Arial"/>
          <w:b/>
          <w:bCs/>
          <w:color w:val="000000"/>
        </w:rPr>
        <w:t>. Low-luminance pixels are much more variable than bright pixels</w:t>
      </w:r>
      <w:r w:rsidRPr="007812F9">
        <w:rPr>
          <w:rFonts w:ascii="Arial" w:hAnsi="Arial" w:cs="Arial"/>
          <w:color w:val="000000"/>
        </w:rPr>
        <w:t xml:space="preserve">, </w:t>
      </w:r>
      <w:r w:rsidRPr="007812F9">
        <w:rPr>
          <w:rFonts w:ascii="Arial" w:hAnsi="Arial" w:cs="Arial"/>
          <w:color w:val="000000"/>
        </w:rPr>
        <w:lastRenderedPageBreak/>
        <w:t xml:space="preserve">and </w:t>
      </w:r>
      <w:r w:rsidRPr="00276CDF">
        <w:rPr>
          <w:rFonts w:ascii="Arial" w:hAnsi="Arial" w:cs="Arial"/>
          <w:b/>
          <w:bCs/>
          <w:color w:val="000000"/>
        </w:rPr>
        <w:t>variability in dim areas can be dominated by the imaging process rather than true ground change</w:t>
      </w:r>
      <w:r w:rsidRPr="007812F9">
        <w:rPr>
          <w:rFonts w:ascii="Arial" w:hAnsi="Arial" w:cs="Arial"/>
          <w:color w:val="000000"/>
        </w:rPr>
        <w:t xml:space="preserve">. This matters for disaster recovery because </w:t>
      </w:r>
      <w:r w:rsidRPr="00276CDF">
        <w:rPr>
          <w:rFonts w:ascii="Arial" w:hAnsi="Arial" w:cs="Arial"/>
          <w:b/>
          <w:bCs/>
          <w:color w:val="000000"/>
        </w:rPr>
        <w:t>many affected tropical settlements, peri-urban fringes, roads, and rural communities fall into the low-light range where apparent changes can be unstable</w:t>
      </w:r>
      <w:r w:rsidRPr="007812F9">
        <w:rPr>
          <w:rFonts w:ascii="Arial" w:hAnsi="Arial" w:cs="Arial"/>
          <w:color w:val="000000"/>
        </w:rPr>
        <w:t>.</w:t>
      </w:r>
    </w:p>
    <w:p w14:paraId="484935AB"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This finding helps interpret several results in the five application papers. Zhao et al. (2020) used a 3 nW cm</w:t>
      </w:r>
      <w:r w:rsidRPr="007812F9">
        <w:rPr>
          <w:rFonts w:ascii="Cambria Math" w:hAnsi="Cambria Math" w:cs="Cambria Math"/>
          <w:color w:val="000000"/>
        </w:rPr>
        <w:t>⁻</w:t>
      </w:r>
      <w:r w:rsidRPr="007812F9">
        <w:rPr>
          <w:rFonts w:ascii="Arial" w:hAnsi="Arial" w:cs="Arial"/>
          <w:color w:val="000000"/>
        </w:rPr>
        <w:t>² sr</w:t>
      </w:r>
      <w:r w:rsidRPr="007812F9">
        <w:rPr>
          <w:rFonts w:ascii="Cambria Math" w:hAnsi="Cambria Math" w:cs="Cambria Math"/>
          <w:color w:val="000000"/>
        </w:rPr>
        <w:t>⁻</w:t>
      </w:r>
      <w:r w:rsidRPr="007812F9">
        <w:rPr>
          <w:rFonts w:ascii="Arial" w:hAnsi="Arial" w:cs="Arial"/>
          <w:color w:val="000000"/>
        </w:rPr>
        <w:t>¹ threshold to reduce background noise and blooming while retaining smaller settlements. Zheng et al. (2025) reported that hurricane-affected pixels below approximately 4 nW cm</w:t>
      </w:r>
      <w:r w:rsidRPr="007812F9">
        <w:rPr>
          <w:rFonts w:ascii="Cambria Math" w:hAnsi="Cambria Math" w:cs="Cambria Math"/>
          <w:color w:val="000000"/>
        </w:rPr>
        <w:t>⁻</w:t>
      </w:r>
      <w:r w:rsidRPr="007812F9">
        <w:rPr>
          <w:rFonts w:ascii="Arial" w:hAnsi="Arial" w:cs="Arial"/>
          <w:color w:val="000000"/>
        </w:rPr>
        <w:t>² sr</w:t>
      </w:r>
      <w:r w:rsidRPr="007812F9">
        <w:rPr>
          <w:rFonts w:ascii="Cambria Math" w:hAnsi="Cambria Math" w:cs="Cambria Math"/>
          <w:color w:val="000000"/>
        </w:rPr>
        <w:t>⁻</w:t>
      </w:r>
      <w:r w:rsidRPr="007812F9">
        <w:rPr>
          <w:rFonts w:ascii="Arial" w:hAnsi="Arial" w:cs="Arial"/>
          <w:color w:val="000000"/>
        </w:rPr>
        <w:t>¹ may be under-detected because disaster-induced decreases are buried in high background variation. Mu et al. (2025) masked pixels below the 5th percentile of median pre-disaster NTL to reduce background noise and ephemeral-light effects. These are not arbitrary preprocessing choices; they reflect the broader instability diagnosed by Small (2021).</w:t>
      </w:r>
    </w:p>
    <w:p w14:paraId="63E8A789" w14:textId="77777777" w:rsidR="00276CDF" w:rsidRDefault="007812F9" w:rsidP="007812F9">
      <w:pPr>
        <w:pStyle w:val="NormalWeb"/>
        <w:rPr>
          <w:rFonts w:ascii="Arial" w:hAnsi="Arial" w:cs="Arial"/>
          <w:color w:val="000000"/>
        </w:rPr>
      </w:pPr>
      <w:r w:rsidRPr="007812F9">
        <w:rPr>
          <w:rFonts w:ascii="Arial" w:hAnsi="Arial" w:cs="Arial"/>
          <w:color w:val="000000"/>
        </w:rPr>
        <w:t xml:space="preserve">For RQ2, the methodological implication is that </w:t>
      </w:r>
      <w:r w:rsidRPr="00276CDF">
        <w:rPr>
          <w:rFonts w:ascii="Arial" w:hAnsi="Arial" w:cs="Arial"/>
          <w:b/>
          <w:bCs/>
          <w:color w:val="000000"/>
        </w:rPr>
        <w:t>low-light areas cannot be treated with the same confidence as dense urban cores</w:t>
      </w:r>
      <w:r w:rsidRPr="007812F9">
        <w:rPr>
          <w:rFonts w:ascii="Arial" w:hAnsi="Arial" w:cs="Arial"/>
          <w:color w:val="000000"/>
        </w:rPr>
        <w:t xml:space="preserve">. </w:t>
      </w:r>
      <w:r w:rsidRPr="00276CDF">
        <w:rPr>
          <w:rFonts w:ascii="Arial" w:hAnsi="Arial" w:cs="Arial"/>
          <w:b/>
          <w:bCs/>
          <w:color w:val="000000"/>
        </w:rPr>
        <w:t>Recovery metrics should not be computed uniformly across all GHSL classes</w:t>
      </w:r>
      <w:r w:rsidRPr="007812F9">
        <w:rPr>
          <w:rFonts w:ascii="Arial" w:hAnsi="Arial" w:cs="Arial"/>
          <w:color w:val="000000"/>
        </w:rPr>
        <w:t xml:space="preserve">. A settlement unit with low baseline radiance, high coefficient of variation, and sparse valid observations should be flagged as </w:t>
      </w:r>
      <w:r w:rsidRPr="00276CDF">
        <w:rPr>
          <w:rFonts w:ascii="Arial" w:hAnsi="Arial" w:cs="Arial"/>
          <w:b/>
          <w:bCs/>
          <w:color w:val="000000"/>
        </w:rPr>
        <w:t>low interpretability even if a model produces a recovery date</w:t>
      </w:r>
      <w:r w:rsidRPr="007812F9">
        <w:rPr>
          <w:rFonts w:ascii="Arial" w:hAnsi="Arial" w:cs="Arial"/>
          <w:color w:val="000000"/>
        </w:rPr>
        <w:t>. This is particularly important in the Philippines, where many disaster-affected communities are outside high-radiance metropolitan cores.</w:t>
      </w:r>
    </w:p>
    <w:p w14:paraId="09F5925F" w14:textId="413DF77B" w:rsidR="007812F9" w:rsidRPr="00276CDF" w:rsidRDefault="00276CDF" w:rsidP="007812F9">
      <w:pPr>
        <w:pStyle w:val="Heading2"/>
        <w:rPr>
          <w:rFonts w:ascii="Arial" w:hAnsi="Arial" w:cs="Arial"/>
          <w:b/>
          <w:bCs/>
          <w:color w:val="0432FF"/>
        </w:rPr>
      </w:pPr>
      <w:r>
        <w:rPr>
          <w:rFonts w:ascii="Arial" w:hAnsi="Arial" w:cs="Arial"/>
          <w:b/>
          <w:bCs/>
          <w:color w:val="0432FF"/>
        </w:rPr>
        <w:t xml:space="preserve">III. </w:t>
      </w:r>
      <w:r w:rsidR="007812F9" w:rsidRPr="00276CDF">
        <w:rPr>
          <w:rFonts w:ascii="Arial" w:hAnsi="Arial" w:cs="Arial"/>
          <w:b/>
          <w:bCs/>
          <w:color w:val="0432FF"/>
        </w:rPr>
        <w:t>Chakraborty and Stokes —</w:t>
      </w:r>
      <w:r w:rsidR="007812F9" w:rsidRPr="00276CDF">
        <w:rPr>
          <w:rStyle w:val="apple-converted-space"/>
          <w:rFonts w:ascii="Arial" w:hAnsi="Arial" w:cs="Arial"/>
          <w:b/>
          <w:bCs/>
          <w:color w:val="0432FF"/>
        </w:rPr>
        <w:t> </w:t>
      </w:r>
      <w:r w:rsidR="007812F9" w:rsidRPr="00276CDF">
        <w:rPr>
          <w:rStyle w:val="Emphasis"/>
          <w:rFonts w:ascii="Arial" w:hAnsi="Arial" w:cs="Arial"/>
          <w:b/>
          <w:bCs/>
          <w:color w:val="0432FF"/>
        </w:rPr>
        <w:t>Adaptive Modeling of Satellite-Derived Nighttime Lights Time-Series for Tracking Urban Change Processes Using Machine Learning</w:t>
      </w:r>
    </w:p>
    <w:p w14:paraId="2CFCFF3C"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Chakraborty and Stokes (2023) developed an adaptive forecasting framework for daily NTL time series. Instead of detecting change through simple before–after comparison, the method learns expected NTL behaviour and identifies deviations from that expected trajectory. This is methodologically relevant because disaster recovery metrics depend on what is treated as “normal” or business-as-usual.</w:t>
      </w:r>
    </w:p>
    <w:p w14:paraId="00D86789"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paper connects directly to the baseline problem visible across the application set. Román et al. (2019) used pre-hurricane radiance as the reference for percent recovery, NDWE, and CHI. Zhao et al. (2020) used STL decomposition and one-period-ahead forecasting to detect significant hurricane-related decreases relative to confidence intervals. Mo et al. (2025) used a three-month pre-storm baseline and an adaptive blackout detection approach. Zheng et al. (2025) estimated recovery relative to a business-as-usual trend. Mu et al. (2025) made this problem central by constructing synthetic counterfactual NTL using optimized donors and random forest regression.</w:t>
      </w:r>
    </w:p>
    <w:p w14:paraId="698C2094" w14:textId="05490595" w:rsidR="007812F9" w:rsidRPr="00276CDF" w:rsidRDefault="007812F9" w:rsidP="00276CDF">
      <w:pPr>
        <w:pStyle w:val="NormalWeb"/>
        <w:rPr>
          <w:rFonts w:ascii="Arial" w:hAnsi="Arial" w:cs="Arial"/>
          <w:color w:val="000000"/>
        </w:rPr>
      </w:pPr>
      <w:r w:rsidRPr="007812F9">
        <w:rPr>
          <w:rFonts w:ascii="Arial" w:hAnsi="Arial" w:cs="Arial"/>
          <w:color w:val="000000"/>
        </w:rPr>
        <w:t xml:space="preserve">The transferable contribution is the </w:t>
      </w:r>
      <w:r w:rsidRPr="00276CDF">
        <w:rPr>
          <w:rFonts w:ascii="Arial" w:hAnsi="Arial" w:cs="Arial"/>
          <w:b/>
          <w:bCs/>
          <w:color w:val="000000"/>
        </w:rPr>
        <w:t>use of adaptive baselines rather than fixed pre-event means</w:t>
      </w:r>
      <w:r w:rsidRPr="007812F9">
        <w:rPr>
          <w:rFonts w:ascii="Arial" w:hAnsi="Arial" w:cs="Arial"/>
          <w:color w:val="000000"/>
        </w:rPr>
        <w:t xml:space="preserve">. However, forecasting cannot substitute for observability screening. A model can forecast expected NTL even when the observed sequence is sparse, noisy, or geometry-sensitive. In a tropical disaster context, adaptive forecasting should </w:t>
      </w:r>
      <w:r w:rsidRPr="007812F9">
        <w:rPr>
          <w:rFonts w:ascii="Arial" w:hAnsi="Arial" w:cs="Arial"/>
          <w:color w:val="000000"/>
        </w:rPr>
        <w:lastRenderedPageBreak/>
        <w:t>therefore be applied only after the input series has passed quality, valid-pixel, baseline-stability, and settlement-relevance checks.</w:t>
      </w:r>
    </w:p>
    <w:p w14:paraId="3FCAB7D4" w14:textId="37FD2389" w:rsidR="007812F9" w:rsidRPr="00276CDF" w:rsidRDefault="00276CDF" w:rsidP="007812F9">
      <w:pPr>
        <w:pStyle w:val="Heading2"/>
        <w:rPr>
          <w:rFonts w:ascii="Arial" w:hAnsi="Arial" w:cs="Arial"/>
          <w:b/>
          <w:bCs/>
          <w:color w:val="0432FF"/>
        </w:rPr>
      </w:pPr>
      <w:r>
        <w:rPr>
          <w:rFonts w:ascii="Arial" w:hAnsi="Arial" w:cs="Arial"/>
          <w:b/>
          <w:bCs/>
          <w:color w:val="0432FF"/>
        </w:rPr>
        <w:t xml:space="preserve">IV. </w:t>
      </w:r>
      <w:r w:rsidR="007812F9" w:rsidRPr="00276CDF">
        <w:rPr>
          <w:rFonts w:ascii="Arial" w:hAnsi="Arial" w:cs="Arial"/>
          <w:b/>
          <w:bCs/>
          <w:color w:val="0432FF"/>
        </w:rPr>
        <w:t>Thomas et al. —</w:t>
      </w:r>
      <w:r w:rsidR="007812F9" w:rsidRPr="00276CDF">
        <w:rPr>
          <w:rStyle w:val="apple-converted-space"/>
          <w:rFonts w:ascii="Arial" w:hAnsi="Arial" w:cs="Arial"/>
          <w:b/>
          <w:bCs/>
          <w:color w:val="0432FF"/>
        </w:rPr>
        <w:t> </w:t>
      </w:r>
      <w:r w:rsidR="007812F9" w:rsidRPr="00276CDF">
        <w:rPr>
          <w:rStyle w:val="Emphasis"/>
          <w:rFonts w:ascii="Arial" w:hAnsi="Arial" w:cs="Arial"/>
          <w:b/>
          <w:bCs/>
          <w:color w:val="0432FF"/>
        </w:rPr>
        <w:t>Shining a Light on Hurricane Damage Estimation via Nighttime Light Data: Pre-processing Matters</w:t>
      </w:r>
    </w:p>
    <w:p w14:paraId="5EFB0B04"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Thomas et al. (2024) is relevant because it directly tests whether preprocessing choices alter the relationship between NTL change and hurricane damage inference. The study compared VSC-NTL and VNP46A2, with VNP46A2 derived from daily data and aggregated to monthly median. It evaluated thresholding, built masking, quality filtering, and imputation, then compared radiance decline with zip-code damage ratios.</w:t>
      </w:r>
    </w:p>
    <w:p w14:paraId="5FE291D6"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connection to the application papers is substantial. Román et al. (2019) already showed that daily outage estimates can be sensitive to cloud-mask omission and therefore used four-day aggregation. Mo et al. (2025) explicitly handled missing daily observations using next-available gap filling and uncertainty bounds. Zheng et al. (2025) relied on MQF-screened BRDF-corrected NTL and BEAST to model irregular daily gaps. Mu et al. (2025) replaced low-quality observations with polynomial interpolation. Thomas et al. (2024) provides independent support for the claim that these preprocessing decisions are not technical details; they can change the strength and coherence of disaster inference.</w:t>
      </w:r>
    </w:p>
    <w:p w14:paraId="1201A27A" w14:textId="77777777" w:rsidR="007812F9" w:rsidRDefault="007812F9" w:rsidP="007812F9">
      <w:pPr>
        <w:pStyle w:val="NormalWeb"/>
        <w:rPr>
          <w:rFonts w:ascii="Arial" w:hAnsi="Arial" w:cs="Arial"/>
          <w:color w:val="000000"/>
        </w:rPr>
      </w:pPr>
      <w:r w:rsidRPr="007812F9">
        <w:rPr>
          <w:rFonts w:ascii="Arial" w:hAnsi="Arial" w:cs="Arial"/>
          <w:color w:val="000000"/>
        </w:rPr>
        <w:t xml:space="preserve">The main lesson for RQ2 is that </w:t>
      </w:r>
      <w:r w:rsidRPr="00276CDF">
        <w:rPr>
          <w:rFonts w:ascii="Arial" w:hAnsi="Arial" w:cs="Arial"/>
          <w:b/>
          <w:bCs/>
          <w:color w:val="000000"/>
        </w:rPr>
        <w:t>imputation and gap filling should not be treated as neutral operations</w:t>
      </w:r>
      <w:r w:rsidRPr="007812F9">
        <w:rPr>
          <w:rFonts w:ascii="Arial" w:hAnsi="Arial" w:cs="Arial"/>
          <w:color w:val="000000"/>
        </w:rPr>
        <w:t xml:space="preserve">. They may improve temporal continuity, but </w:t>
      </w:r>
      <w:r w:rsidRPr="00276CDF">
        <w:rPr>
          <w:rFonts w:ascii="Arial" w:hAnsi="Arial" w:cs="Arial"/>
          <w:b/>
          <w:bCs/>
          <w:color w:val="000000"/>
        </w:rPr>
        <w:t>they can also alter shock magnitude, impact timing, and apparent recovery duration</w:t>
      </w:r>
      <w:r w:rsidRPr="007812F9">
        <w:rPr>
          <w:rFonts w:ascii="Arial" w:hAnsi="Arial" w:cs="Arial"/>
          <w:color w:val="000000"/>
        </w:rPr>
        <w:t>. This is directly relevant to comparing</w:t>
      </w:r>
      <w:r w:rsidRPr="007812F9">
        <w:rPr>
          <w:rStyle w:val="apple-converted-space"/>
          <w:rFonts w:ascii="Arial" w:hAnsi="Arial" w:cs="Arial"/>
          <w:color w:val="000000"/>
        </w:rPr>
        <w:t> </w:t>
      </w:r>
      <w:r w:rsidRPr="007812F9">
        <w:rPr>
          <w:rStyle w:val="HTMLCode"/>
          <w:rFonts w:ascii="Arial" w:hAnsi="Arial" w:cs="Arial"/>
          <w:color w:val="000000"/>
        </w:rPr>
        <w:t>DNB_BRDF_Corrected_NTL</w:t>
      </w:r>
      <w:r w:rsidRPr="007812F9">
        <w:rPr>
          <w:rStyle w:val="apple-converted-space"/>
          <w:rFonts w:ascii="Arial" w:hAnsi="Arial" w:cs="Arial"/>
          <w:color w:val="000000"/>
        </w:rPr>
        <w:t> </w:t>
      </w:r>
      <w:r w:rsidRPr="007812F9">
        <w:rPr>
          <w:rFonts w:ascii="Arial" w:hAnsi="Arial" w:cs="Arial"/>
          <w:color w:val="000000"/>
        </w:rPr>
        <w:t>and</w:t>
      </w:r>
      <w:r w:rsidRPr="007812F9">
        <w:rPr>
          <w:rStyle w:val="apple-converted-space"/>
          <w:rFonts w:ascii="Arial" w:hAnsi="Arial" w:cs="Arial"/>
          <w:color w:val="000000"/>
        </w:rPr>
        <w:t> </w:t>
      </w:r>
      <w:r w:rsidRPr="007812F9">
        <w:rPr>
          <w:rStyle w:val="HTMLCode"/>
          <w:rFonts w:ascii="Arial" w:hAnsi="Arial" w:cs="Arial"/>
          <w:color w:val="000000"/>
        </w:rPr>
        <w:t>Gap_Filled_DNB_BRDF_Corrected_NTL</w:t>
      </w:r>
      <w:r w:rsidRPr="007812F9">
        <w:rPr>
          <w:rFonts w:ascii="Arial" w:hAnsi="Arial" w:cs="Arial"/>
          <w:color w:val="000000"/>
        </w:rPr>
        <w:t>. In a tropical setting, where cloud gaps may coincide with the disaster and early recovery window, filled continuity must be interpreted as a modelled product, not as direct evidence.</w:t>
      </w:r>
    </w:p>
    <w:p w14:paraId="6191F946" w14:textId="29B5F0E4" w:rsidR="007812F9" w:rsidRPr="00276CDF" w:rsidRDefault="00276CDF" w:rsidP="007812F9">
      <w:pPr>
        <w:pStyle w:val="Heading2"/>
        <w:rPr>
          <w:rFonts w:ascii="Arial" w:hAnsi="Arial" w:cs="Arial"/>
          <w:b/>
          <w:bCs/>
          <w:color w:val="0432FF"/>
        </w:rPr>
      </w:pPr>
      <w:r>
        <w:rPr>
          <w:rFonts w:ascii="Arial" w:hAnsi="Arial" w:cs="Arial"/>
          <w:b/>
          <w:bCs/>
          <w:color w:val="0432FF"/>
        </w:rPr>
        <w:t xml:space="preserve">V. </w:t>
      </w:r>
      <w:r w:rsidR="007812F9" w:rsidRPr="00276CDF">
        <w:rPr>
          <w:rFonts w:ascii="Arial" w:hAnsi="Arial" w:cs="Arial"/>
          <w:b/>
          <w:bCs/>
          <w:color w:val="0432FF"/>
        </w:rPr>
        <w:t>Tong —</w:t>
      </w:r>
      <w:r w:rsidR="007812F9" w:rsidRPr="00276CDF">
        <w:rPr>
          <w:rStyle w:val="apple-converted-space"/>
          <w:rFonts w:ascii="Arial" w:hAnsi="Arial" w:cs="Arial"/>
          <w:b/>
          <w:bCs/>
          <w:color w:val="0432FF"/>
        </w:rPr>
        <w:t> </w:t>
      </w:r>
      <w:r w:rsidR="007812F9" w:rsidRPr="00276CDF">
        <w:rPr>
          <w:rStyle w:val="Emphasis"/>
          <w:rFonts w:ascii="Arial" w:hAnsi="Arial" w:cs="Arial"/>
          <w:b/>
          <w:bCs/>
          <w:color w:val="0432FF"/>
        </w:rPr>
        <w:t>Land use and anisotropy of artificial light observed by night time satellite</w:t>
      </w:r>
    </w:p>
    <w:p w14:paraId="3814E00D"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Tong (2025) addresses angular anisotropy directly. The study used repeated VIIRS-DNB observations under strict astronomical night, moon-below-horizon, and cloud-clear conditions to model how artificial light emission changes with satellite viewing geometry. The results show that anisotropy varies systematically by land use and brightness level, meaning that apparent radiance differences can partly reflect viewing angle rather than true change in electricity-mediated activity.</w:t>
      </w:r>
    </w:p>
    <w:p w14:paraId="13E42299"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 xml:space="preserve">This paper strengthens the interpretation of Mo et al. (2025) and Zheng et al. (2025). Mo et al. (2025) identified geometric error and angular error as key uncertainty sources in Black Marble blackout detection, using spatial averaging and a three-month baseline to reduce their influence. Zheng et al. (2025) explicitly corrected VZA by converting observations to nadir-equivalent radiance using a quadratic regression model, reporting </w:t>
      </w:r>
      <w:r w:rsidRPr="007812F9">
        <w:rPr>
          <w:rFonts w:ascii="Arial" w:hAnsi="Arial" w:cs="Arial"/>
          <w:color w:val="000000"/>
        </w:rPr>
        <w:lastRenderedPageBreak/>
        <w:t xml:space="preserve">average radiance bias of 5.6% at VZA = 30° and 10.3% at VZA = 60°. </w:t>
      </w:r>
      <w:r w:rsidRPr="00276CDF">
        <w:rPr>
          <w:rFonts w:ascii="Arial" w:hAnsi="Arial" w:cs="Arial"/>
          <w:b/>
          <w:bCs/>
          <w:color w:val="000000"/>
        </w:rPr>
        <w:t>Tong (2025) provides the physical justification for treating these steps as necessary rather than optional.</w:t>
      </w:r>
    </w:p>
    <w:p w14:paraId="3814F2FB" w14:textId="16AEEAD8" w:rsidR="00276CDF" w:rsidRDefault="007812F9" w:rsidP="00276CDF">
      <w:pPr>
        <w:pStyle w:val="NormalWeb"/>
        <w:pBdr>
          <w:bottom w:val="single" w:sz="6" w:space="1" w:color="auto"/>
        </w:pBdr>
        <w:rPr>
          <w:rFonts w:ascii="Arial" w:hAnsi="Arial" w:cs="Arial"/>
          <w:color w:val="000000"/>
        </w:rPr>
      </w:pPr>
      <w:r w:rsidRPr="007812F9">
        <w:rPr>
          <w:rFonts w:ascii="Arial" w:hAnsi="Arial" w:cs="Arial"/>
          <w:color w:val="000000"/>
        </w:rPr>
        <w:t xml:space="preserve">For RQ2, the implication is that </w:t>
      </w:r>
      <w:r w:rsidRPr="00276CDF">
        <w:rPr>
          <w:rFonts w:ascii="Arial" w:hAnsi="Arial" w:cs="Arial"/>
          <w:b/>
          <w:bCs/>
          <w:color w:val="000000"/>
        </w:rPr>
        <w:t>VZA should be evaluated at the same level as cloud and valid-pixel support</w:t>
      </w:r>
      <w:r w:rsidRPr="007812F9">
        <w:rPr>
          <w:rFonts w:ascii="Arial" w:hAnsi="Arial" w:cs="Arial"/>
          <w:color w:val="000000"/>
        </w:rPr>
        <w:t xml:space="preserve">. A daily recovery curve may be unreliable if the post-event observations are acquired under systematically different viewing geometry from the baseline period. </w:t>
      </w:r>
      <w:r w:rsidRPr="00276CDF">
        <w:rPr>
          <w:rFonts w:ascii="Arial" w:hAnsi="Arial" w:cs="Arial"/>
          <w:b/>
          <w:bCs/>
          <w:color w:val="000000"/>
        </w:rPr>
        <w:t>Because anisotropy is land-use dependent, the effect should also be tested by GHSL settlement class rather than assumed constant across dense urban cores, peri-urban areas, rural settlements, roads, and industrial zones</w:t>
      </w:r>
      <w:r w:rsidRPr="007812F9">
        <w:rPr>
          <w:rFonts w:ascii="Arial" w:hAnsi="Arial" w:cs="Arial"/>
          <w:color w:val="000000"/>
        </w:rPr>
        <w:t>.</w:t>
      </w:r>
    </w:p>
    <w:p w14:paraId="342AF135" w14:textId="77777777" w:rsidR="00276CDF" w:rsidRPr="00276CDF" w:rsidRDefault="00276CDF" w:rsidP="00276CDF">
      <w:pPr>
        <w:pStyle w:val="NormalWeb"/>
        <w:pBdr>
          <w:bottom w:val="single" w:sz="6" w:space="1" w:color="auto"/>
        </w:pBdr>
        <w:rPr>
          <w:rFonts w:ascii="Arial" w:hAnsi="Arial" w:cs="Arial"/>
          <w:color w:val="000000"/>
        </w:rPr>
      </w:pPr>
    </w:p>
    <w:p w14:paraId="13FABC30" w14:textId="74D29E90" w:rsidR="007812F9" w:rsidRPr="00276CDF" w:rsidRDefault="007812F9" w:rsidP="007812F9">
      <w:pPr>
        <w:pStyle w:val="Heading1"/>
        <w:rPr>
          <w:rFonts w:ascii="Arial" w:hAnsi="Arial" w:cs="Arial"/>
          <w:b/>
          <w:bCs/>
          <w:color w:val="0432FF"/>
        </w:rPr>
      </w:pPr>
      <w:r w:rsidRPr="00276CDF">
        <w:rPr>
          <w:rFonts w:ascii="Arial" w:hAnsi="Arial" w:cs="Arial"/>
          <w:b/>
          <w:bCs/>
          <w:color w:val="0432FF"/>
        </w:rPr>
        <w:t>Executive synthesis and methodological implications for RQ2</w:t>
      </w:r>
    </w:p>
    <w:p w14:paraId="151233C3" w14:textId="77777777" w:rsidR="007812F9" w:rsidRPr="00276CDF" w:rsidRDefault="007812F9" w:rsidP="007812F9">
      <w:pPr>
        <w:pStyle w:val="Heading2"/>
        <w:rPr>
          <w:rFonts w:ascii="Arial" w:hAnsi="Arial" w:cs="Arial"/>
          <w:b/>
          <w:bCs/>
          <w:color w:val="0432FF"/>
        </w:rPr>
      </w:pPr>
      <w:r w:rsidRPr="00276CDF">
        <w:rPr>
          <w:rFonts w:ascii="Arial" w:hAnsi="Arial" w:cs="Arial"/>
          <w:b/>
          <w:bCs/>
          <w:color w:val="0432FF"/>
        </w:rPr>
        <w:t>Where the field now stands</w:t>
      </w:r>
    </w:p>
    <w:p w14:paraId="76588DC3"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recent application literature shows that daily NTL is already a credible proxy for electricity-mediated disruption and recovery under certain conditions. Román et al. (2019) demonstrated that daily Black Marble can estimate electricity restoration after Hurricane Maria and can be validated against PREPA restoration records. Mo et al. (2025) extended the logic globally, estimating blackout duration after 396 tropical cyclones across 66 countries and validating NTL-derived blackout duration against PowerOutage.US records. Zheng et al. (2025) advanced the field toward fine-scale post-hurricane recovery analysis by combining BRDF-corrected VNP46A2, VZA correction, BEAST decomposition, recovery-duration metrics, trajectory clustering, and inequality analysis. Mu et al. (2025) addressed the counterfactual baseline problem through synthetic control and random forest regression. Zhao et al. (2020), although monthly rather than daily, reinforced the need to compare observed NTL against expected seasonal behaviour rather than relying on direct pre/post differencing.</w:t>
      </w:r>
    </w:p>
    <w:p w14:paraId="3E436E72"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methodological literature explains why these advances remain conditional. Román et al. (2018) made daily corrected Black Marble analysis possible, but later studies show that correction does not eliminate all application-level uncertainty. Small (2021) shows that low-light observations are unstable and that dim settlements can generate apparent change unrelated to recovery. Thomas et al. (2024) shows that preprocessing choices materially affect hurricane-damage inference. Tong (2025) shows that angular anisotropy varies by land use and brightness. These studies collectively indicate that disaster recovery metrics from daily NTL are not direct observations of recovery; they are inferences drawn from a filtered, corrected, geometry-dependent, and often incomplete satellite record.</w:t>
      </w:r>
    </w:p>
    <w:p w14:paraId="3BF0E7F3" w14:textId="77777777" w:rsidR="007812F9" w:rsidRPr="00276CDF" w:rsidRDefault="007812F9" w:rsidP="007812F9">
      <w:pPr>
        <w:pStyle w:val="NormalWeb"/>
        <w:rPr>
          <w:rFonts w:ascii="Arial" w:hAnsi="Arial" w:cs="Arial"/>
          <w:b/>
          <w:bCs/>
          <w:color w:val="000000"/>
        </w:rPr>
      </w:pPr>
      <w:r w:rsidRPr="007812F9">
        <w:rPr>
          <w:rFonts w:ascii="Arial" w:hAnsi="Arial" w:cs="Arial"/>
          <w:color w:val="000000"/>
        </w:rPr>
        <w:t xml:space="preserve">The field has therefore moved beyond proof of concept. The broad claim that daily NTL can detect disaster impact, outage, or recovery is no longer novel. The unresolved </w:t>
      </w:r>
      <w:r w:rsidRPr="007812F9">
        <w:rPr>
          <w:rFonts w:ascii="Arial" w:hAnsi="Arial" w:cs="Arial"/>
          <w:color w:val="000000"/>
        </w:rPr>
        <w:lastRenderedPageBreak/>
        <w:t xml:space="preserve">problem is narrower: </w:t>
      </w:r>
      <w:r w:rsidRPr="00276CDF">
        <w:rPr>
          <w:rFonts w:ascii="Arial" w:hAnsi="Arial" w:cs="Arial"/>
          <w:b/>
          <w:bCs/>
          <w:color w:val="000000"/>
        </w:rPr>
        <w:t>how to determine whether daily NTL recovery metrics remain interpretable in places where the observation process is weak, uneven, and coincident with the disaster.</w:t>
      </w:r>
    </w:p>
    <w:p w14:paraId="23FF3BA2" w14:textId="77777777" w:rsidR="007812F9" w:rsidRPr="00276CDF" w:rsidRDefault="007812F9" w:rsidP="007812F9">
      <w:pPr>
        <w:pStyle w:val="Heading2"/>
        <w:rPr>
          <w:rFonts w:ascii="Arial" w:hAnsi="Arial" w:cs="Arial"/>
          <w:b/>
          <w:bCs/>
          <w:color w:val="0432FF"/>
        </w:rPr>
      </w:pPr>
      <w:r w:rsidRPr="00276CDF">
        <w:rPr>
          <w:rFonts w:ascii="Arial" w:hAnsi="Arial" w:cs="Arial"/>
          <w:b/>
          <w:bCs/>
          <w:color w:val="0432FF"/>
        </w:rPr>
        <w:t>What the five application studies already cover</w:t>
      </w:r>
    </w:p>
    <w:p w14:paraId="119F6DFA"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five application studies collectively occupy much of the methodological space that would otherwise appear novel.</w:t>
      </w:r>
    </w:p>
    <w:p w14:paraId="2C4AC52C"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Román et al. (2019) already converts Black Marble radiance deficits into electricity-service metrics such as percent recovery, NDWE, and CHI. Mo et al. (2025) already uses GHSL settlement clusters, daily VNP46A2, blackout duration, missing-data uncertainty, angular-error discussion, and utility validation at global scale. Zheng et al. (2025) already conducts pixel-scale daily Black Marble recovery analysis with VZA correction, BEAST modelling, recovery-duration estimation, trajectory clustering, scale-effect testing, and inequality analysis. Mu et al. (2025) already constructs counterfactual BAU NTL using an improved synthetic-control framework. Zhao et al. (2020) already demonstrates STL-based expected-value modelling and confidence-based hurricane change detection.</w:t>
      </w:r>
    </w:p>
    <w:p w14:paraId="4B7AE90C"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 xml:space="preserve">These studies imply that RQ2 should not be framed around first-use claims. The stronger premise is that </w:t>
      </w:r>
      <w:r w:rsidRPr="00276CDF">
        <w:rPr>
          <w:rFonts w:ascii="Arial" w:hAnsi="Arial" w:cs="Arial"/>
          <w:b/>
          <w:bCs/>
          <w:color w:val="000000"/>
        </w:rPr>
        <w:t>the most advanced methods still require local reliability testing when transferred to cloud-impacted tropical regions</w:t>
      </w:r>
      <w:r w:rsidRPr="007812F9">
        <w:rPr>
          <w:rFonts w:ascii="Arial" w:hAnsi="Arial" w:cs="Arial"/>
          <w:color w:val="000000"/>
        </w:rPr>
        <w:t>. Mo et al. (2025) handles missingness through gap filling and uncertainty bounds, but at global cluster scale. Zheng et al. (2025) handles gaps through BEAST, but does not create a separate “not observable” class. Mu et al. (2025) interpolates low-quality observations, which can improve model continuity but may hide the observational conditions that matter most after a tropical cyclone. Román et al. (2019) validates electricity restoration well, but its observability solution relies on product correction and aggregation rather than formal admissibility thresholds. Zhao et al. (2020) solves seasonality for monthly composites, but cannot diagnose daily observability during the event window.</w:t>
      </w:r>
    </w:p>
    <w:p w14:paraId="454B56D0" w14:textId="77777777" w:rsidR="007812F9" w:rsidRPr="00276CDF" w:rsidRDefault="007812F9" w:rsidP="007812F9">
      <w:pPr>
        <w:pStyle w:val="Heading2"/>
        <w:rPr>
          <w:rFonts w:ascii="Arial" w:hAnsi="Arial" w:cs="Arial"/>
          <w:b/>
          <w:bCs/>
          <w:color w:val="0432FF"/>
        </w:rPr>
      </w:pPr>
      <w:r w:rsidRPr="00276CDF">
        <w:rPr>
          <w:rFonts w:ascii="Arial" w:hAnsi="Arial" w:cs="Arial"/>
          <w:b/>
          <w:bCs/>
          <w:color w:val="0432FF"/>
        </w:rPr>
        <w:t>Concrete gaps remaining after integration of the five application studies</w:t>
      </w:r>
    </w:p>
    <w:p w14:paraId="764E4127" w14:textId="77777777" w:rsidR="007812F9" w:rsidRPr="00276CDF" w:rsidRDefault="007812F9" w:rsidP="00276CDF">
      <w:pPr>
        <w:pStyle w:val="BodyText"/>
        <w:rPr>
          <w:rFonts w:ascii="Arial" w:hAnsi="Arial" w:cs="Arial"/>
          <w:b/>
          <w:bCs/>
          <w:color w:val="0432FF"/>
        </w:rPr>
      </w:pPr>
      <w:r w:rsidRPr="00276CDF">
        <w:rPr>
          <w:rFonts w:ascii="Arial" w:hAnsi="Arial" w:cs="Arial"/>
          <w:b/>
          <w:bCs/>
          <w:color w:val="0432FF"/>
        </w:rPr>
        <w:t>The Philippine and humid-tropical evidence gap</w:t>
      </w:r>
    </w:p>
    <w:p w14:paraId="33265BF8"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application literature is strongest in Puerto Rico, the United States, and global multi-country aggregation.</w:t>
      </w:r>
      <w:r w:rsidRPr="00D37E7E">
        <w:rPr>
          <w:rFonts w:ascii="Arial" w:hAnsi="Arial" w:cs="Arial"/>
          <w:b/>
          <w:bCs/>
          <w:color w:val="000000"/>
        </w:rPr>
        <w:t xml:space="preserve"> </w:t>
      </w:r>
      <w:r w:rsidRPr="00D37E7E">
        <w:rPr>
          <w:rFonts w:ascii="Arial" w:hAnsi="Arial" w:cs="Arial"/>
          <w:color w:val="000000"/>
        </w:rPr>
        <w:t>No published indexed study in the retrieved set provides a Philippines-focused daily Black Marble electricity-recovery framework that combines observability screening, settlement morphology, product sensitivity,</w:t>
      </w:r>
      <w:r w:rsidRPr="00D37E7E">
        <w:rPr>
          <w:rFonts w:ascii="Arial" w:hAnsi="Arial" w:cs="Arial"/>
          <w:b/>
          <w:bCs/>
          <w:color w:val="000000"/>
        </w:rPr>
        <w:t xml:space="preserve"> </w:t>
      </w:r>
      <w:r w:rsidRPr="00D37E7E">
        <w:rPr>
          <w:rFonts w:ascii="Arial" w:hAnsi="Arial" w:cs="Arial"/>
          <w:color w:val="000000"/>
        </w:rPr>
        <w:t xml:space="preserve">and electricity-system validation. </w:t>
      </w:r>
      <w:r w:rsidRPr="007812F9">
        <w:rPr>
          <w:rFonts w:ascii="Arial" w:hAnsi="Arial" w:cs="Arial"/>
          <w:color w:val="000000"/>
        </w:rPr>
        <w:t xml:space="preserve">Mo et al. (2025) includes many countries globally, but its </w:t>
      </w:r>
      <w:r w:rsidRPr="00D37E7E">
        <w:rPr>
          <w:rFonts w:ascii="Arial" w:hAnsi="Arial" w:cs="Arial"/>
          <w:b/>
          <w:bCs/>
          <w:color w:val="000000"/>
        </w:rPr>
        <w:t>cluster-scale design does not replace a locally grounded analysis in a persistently cloudy tropical archipelago</w:t>
      </w:r>
      <w:r w:rsidRPr="007812F9">
        <w:rPr>
          <w:rFonts w:ascii="Arial" w:hAnsi="Arial" w:cs="Arial"/>
          <w:color w:val="000000"/>
        </w:rPr>
        <w:t xml:space="preserve">. This gap is regional, but it is not merely geographic. The Philippines combines frequent tropical cyclones, strong cloud persistence, complex </w:t>
      </w:r>
      <w:r w:rsidRPr="007812F9">
        <w:rPr>
          <w:rFonts w:ascii="Arial" w:hAnsi="Arial" w:cs="Arial"/>
          <w:color w:val="000000"/>
        </w:rPr>
        <w:lastRenderedPageBreak/>
        <w:t>islanded electricity systems, and heterogeneous settlement morphology, making it a demanding test case for daily NTL recovery inference.</w:t>
      </w:r>
    </w:p>
    <w:p w14:paraId="61A31B06" w14:textId="77777777" w:rsidR="007812F9" w:rsidRPr="00D37E7E" w:rsidRDefault="007812F9" w:rsidP="00D37E7E">
      <w:pPr>
        <w:pStyle w:val="BodyText"/>
        <w:rPr>
          <w:rFonts w:ascii="Arial" w:hAnsi="Arial" w:cs="Arial"/>
          <w:b/>
          <w:bCs/>
          <w:color w:val="0432FF"/>
        </w:rPr>
      </w:pPr>
      <w:r w:rsidRPr="00D37E7E">
        <w:rPr>
          <w:rFonts w:ascii="Arial" w:hAnsi="Arial" w:cs="Arial"/>
          <w:b/>
          <w:bCs/>
          <w:color w:val="0432FF"/>
        </w:rPr>
        <w:t>The observability gap</w:t>
      </w:r>
    </w:p>
    <w:p w14:paraId="49509E87"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Most studies treat missing observations as a data-processing problem. Román et al. (2019) reduces cloud-mask omission with four-day aggregation. Mo et al. (2025) uses next-available gap filling, beta-distribution uncertainty, and lower/upper blackout-duration bounds. Zheng et al. (2025) uses BEAST because it can handle irregular time series with data gaps. Mu et al. (2025) interpolates low-quality observations. These are valid solutions for continuing analysis, but they do not fully answer whether a recovery claim should be made for a given place and event window.</w:t>
      </w:r>
    </w:p>
    <w:p w14:paraId="34DE89B8"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In a tropical RQ2, observability needs to be treated as a result. A settlement unit should be classifiable as observed, marginally observed, or not observable before being classified as recovered or unrecovered. This is the clearest conceptual distinction left open by the application literature.</w:t>
      </w:r>
    </w:p>
    <w:p w14:paraId="5856282A" w14:textId="77777777" w:rsidR="007812F9" w:rsidRPr="00D37E7E" w:rsidRDefault="007812F9" w:rsidP="00D37E7E">
      <w:pPr>
        <w:pStyle w:val="BodyText"/>
        <w:rPr>
          <w:b/>
          <w:bCs/>
          <w:color w:val="0432FF"/>
        </w:rPr>
      </w:pPr>
      <w:r w:rsidRPr="00D37E7E">
        <w:rPr>
          <w:b/>
          <w:bCs/>
          <w:color w:val="0432FF"/>
        </w:rPr>
        <w:t>The product-choice gap</w:t>
      </w:r>
    </w:p>
    <w:p w14:paraId="7C4FC8AB"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The five application studies use different strategies for product continuity. Román et al. (2019) works with corrected daily Black Marble and short-window aggregation. Mo et al. (2025) gap-fills missing high-quality observations using the next available observation and propagates uncertainty. Zheng et al. (2025) uses the BRDF-corrected VNP46A2 radiance layer with MQF masking and BEAST. Mu et al. (2025) uses lunar BRDF-corrected radiance but interpolates low-quality observations. Thomas et al. (2024) shows that such choices can materially alter disaster inference.</w:t>
      </w:r>
    </w:p>
    <w:p w14:paraId="1BD23A2A"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A Philippines RQ2 can therefore make product choice an explicit experiment: estimate shock and recovery from observed</w:t>
      </w:r>
      <w:r w:rsidRPr="007812F9">
        <w:rPr>
          <w:rStyle w:val="apple-converted-space"/>
          <w:rFonts w:ascii="Arial" w:hAnsi="Arial" w:cs="Arial"/>
          <w:color w:val="000000"/>
        </w:rPr>
        <w:t> </w:t>
      </w:r>
      <w:r w:rsidRPr="007812F9">
        <w:rPr>
          <w:rStyle w:val="HTMLCode"/>
          <w:rFonts w:ascii="Arial" w:hAnsi="Arial" w:cs="Arial"/>
          <w:color w:val="000000"/>
        </w:rPr>
        <w:t>DNB_BRDF_Corrected_NTL</w:t>
      </w:r>
      <w:r w:rsidRPr="007812F9">
        <w:rPr>
          <w:rFonts w:ascii="Arial" w:hAnsi="Arial" w:cs="Arial"/>
          <w:color w:val="000000"/>
        </w:rPr>
        <w:t>, then compare with</w:t>
      </w:r>
      <w:r w:rsidRPr="007812F9">
        <w:rPr>
          <w:rStyle w:val="apple-converted-space"/>
          <w:rFonts w:ascii="Arial" w:hAnsi="Arial" w:cs="Arial"/>
          <w:color w:val="000000"/>
        </w:rPr>
        <w:t> </w:t>
      </w:r>
      <w:r w:rsidRPr="007812F9">
        <w:rPr>
          <w:rStyle w:val="HTMLCode"/>
          <w:rFonts w:ascii="Arial" w:hAnsi="Arial" w:cs="Arial"/>
          <w:color w:val="000000"/>
        </w:rPr>
        <w:t>Gap_Filled_DNB_BRDF_Corrected_NTL</w:t>
      </w:r>
      <w:r w:rsidRPr="007812F9">
        <w:rPr>
          <w:rStyle w:val="apple-converted-space"/>
          <w:rFonts w:ascii="Arial" w:hAnsi="Arial" w:cs="Arial"/>
          <w:color w:val="000000"/>
        </w:rPr>
        <w:t> </w:t>
      </w:r>
      <w:r w:rsidRPr="007812F9">
        <w:rPr>
          <w:rFonts w:ascii="Arial" w:hAnsi="Arial" w:cs="Arial"/>
          <w:color w:val="000000"/>
        </w:rPr>
        <w:t>to quantify whether gap filling attenuates shock magnitude, shifts impact timing, shortens recovery duration, or creates apparent continuity during low-observability periods.</w:t>
      </w:r>
    </w:p>
    <w:p w14:paraId="6B0E2244" w14:textId="77777777" w:rsidR="007812F9" w:rsidRPr="00D37E7E" w:rsidRDefault="007812F9" w:rsidP="00D37E7E">
      <w:pPr>
        <w:pStyle w:val="BodyText"/>
        <w:rPr>
          <w:rFonts w:ascii="Arial" w:hAnsi="Arial" w:cs="Arial"/>
          <w:b/>
          <w:bCs/>
          <w:color w:val="0432FF"/>
        </w:rPr>
      </w:pPr>
      <w:r w:rsidRPr="00D37E7E">
        <w:rPr>
          <w:rFonts w:ascii="Arial" w:hAnsi="Arial" w:cs="Arial"/>
          <w:b/>
          <w:bCs/>
          <w:color w:val="0432FF"/>
        </w:rPr>
        <w:t>The geometry and anisotropy gap</w:t>
      </w:r>
    </w:p>
    <w:p w14:paraId="18456FB6"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Zheng et al. (2025) makes VZA correction part of post-hurricane recovery analysis, and Mo et al. (2025) acknowledges angular error as one of the two major uncertainty sources in Black Marble blackout detection. Tong (2025) shows why this matters physically: artificial light emission is anisotropic, and the angular response differs by land use and brightness. However, disaster applications still rarely report whether recovery metrics are stable across VZA filters or whether angular sensitivity varies by settlement type.</w:t>
      </w:r>
    </w:p>
    <w:p w14:paraId="3ADB46E6"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 xml:space="preserve">A tropical RQ2 should therefore </w:t>
      </w:r>
      <w:r w:rsidRPr="00D37E7E">
        <w:rPr>
          <w:rFonts w:ascii="Arial" w:hAnsi="Arial" w:cs="Arial"/>
          <w:b/>
          <w:bCs/>
          <w:color w:val="000000"/>
        </w:rPr>
        <w:t>treat VZA as a sensitivity dimension</w:t>
      </w:r>
      <w:r w:rsidRPr="007812F9">
        <w:rPr>
          <w:rFonts w:ascii="Arial" w:hAnsi="Arial" w:cs="Arial"/>
          <w:color w:val="000000"/>
        </w:rPr>
        <w:t xml:space="preserve">. This does not require making VZA the central contribution, but recovery metrics should be tested </w:t>
      </w:r>
      <w:r w:rsidRPr="007812F9">
        <w:rPr>
          <w:rFonts w:ascii="Arial" w:hAnsi="Arial" w:cs="Arial"/>
          <w:color w:val="000000"/>
        </w:rPr>
        <w:lastRenderedPageBreak/>
        <w:t>under stricter and looser viewing-angle constraints. If T80, shock magnitude, or cumulative deficit changes substantially with VZA filtering, the recovery estimate should be flagged as geometry-sensitive.</w:t>
      </w:r>
    </w:p>
    <w:p w14:paraId="093BBEB9" w14:textId="77777777" w:rsidR="007812F9" w:rsidRPr="00D37E7E" w:rsidRDefault="007812F9" w:rsidP="00D37E7E">
      <w:pPr>
        <w:pStyle w:val="BodyText"/>
        <w:rPr>
          <w:rFonts w:ascii="Arial" w:hAnsi="Arial" w:cs="Arial"/>
          <w:b/>
          <w:bCs/>
          <w:color w:val="0432FF"/>
        </w:rPr>
      </w:pPr>
      <w:r w:rsidRPr="00D37E7E">
        <w:rPr>
          <w:rFonts w:ascii="Arial" w:hAnsi="Arial" w:cs="Arial"/>
          <w:b/>
          <w:bCs/>
          <w:color w:val="0432FF"/>
        </w:rPr>
        <w:t>The settlement-morphology gap</w:t>
      </w:r>
    </w:p>
    <w:p w14:paraId="54107887"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Mo et al. (2025) already uses GHSL high-density, low-density, and rural clusters. Zheng et al. (2025) already shows that aggregated statistics mask fine-scale recovery heterogeneity. Small (2021) and Zheng et al. (2025) both indicate that low-radiance pixels are more difficult to interpret. Together, these findings mean that GHSL should not be treated only as a stratification layer. It can function as an interpretability layer.</w:t>
      </w:r>
    </w:p>
    <w:p w14:paraId="16ECAB29"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A Philippines RQ2 should therefore assign recovery metrics only where the settlement class, baseline brightness, valid-pixel support, and temporal stability support interpretation. Dense built-up GHSL classes may support daily recovery inference; rural or low-light classes may require aggregation, lower-confidence labels, or exclusion from recovery timing claims.</w:t>
      </w:r>
    </w:p>
    <w:p w14:paraId="106F0EC0" w14:textId="77777777" w:rsidR="007812F9" w:rsidRPr="00D37E7E" w:rsidRDefault="007812F9" w:rsidP="00D37E7E">
      <w:pPr>
        <w:pStyle w:val="BodyText"/>
        <w:rPr>
          <w:rFonts w:ascii="Arial" w:hAnsi="Arial" w:cs="Arial"/>
          <w:b/>
          <w:bCs/>
          <w:color w:val="0432FF"/>
        </w:rPr>
      </w:pPr>
      <w:r w:rsidRPr="00D37E7E">
        <w:rPr>
          <w:rFonts w:ascii="Arial" w:hAnsi="Arial" w:cs="Arial"/>
          <w:b/>
          <w:bCs/>
          <w:color w:val="0432FF"/>
        </w:rPr>
        <w:t>The validation gap</w:t>
      </w:r>
    </w:p>
    <w:p w14:paraId="0F95A0D6"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Román et al. (2019) and Mo et al. (2025) provide the strongest electricity-centred validation, using PREPA and PowerOutage.US respectively. Zheng et al. (2025) compares recovery estimates with Department of Energy restoration statistics and extends interpretation using FEMA and ACS data. Mu et al. (2025) relies on internal model validation, placebo tests, and cross-model comparisons rather than direct electricity restoration validation. Zhao et al. (2020) uses damage photos and the Economic Activity Index rather than electricity restoration data.</w:t>
      </w:r>
    </w:p>
    <w:p w14:paraId="7A47F759" w14:textId="77777777" w:rsidR="007812F9" w:rsidRPr="007812F9" w:rsidRDefault="007812F9" w:rsidP="007812F9">
      <w:pPr>
        <w:pStyle w:val="NormalWeb"/>
        <w:rPr>
          <w:rFonts w:ascii="Arial" w:hAnsi="Arial" w:cs="Arial"/>
          <w:color w:val="000000"/>
        </w:rPr>
      </w:pPr>
      <w:r w:rsidRPr="007812F9">
        <w:rPr>
          <w:rFonts w:ascii="Arial" w:hAnsi="Arial" w:cs="Arial"/>
          <w:color w:val="000000"/>
        </w:rPr>
        <w:t>This indicates that external electricity validation remains important, but it should be interpreted carefully. NGCP load can validate regional electricity-mediated recovery, but it cannot validate household-level restoration, street-light recovery, or pixel-level outage. The validation target must match the spatial and functional scale of the electricity data.</w:t>
      </w:r>
    </w:p>
    <w:p w14:paraId="35E907B8" w14:textId="6AF8CA50" w:rsidR="007812F9" w:rsidRDefault="007812F9" w:rsidP="007812F9">
      <w:pPr>
        <w:rPr>
          <w:rFonts w:ascii="Arial" w:hAnsi="Arial" w:cs="Arial"/>
        </w:rPr>
      </w:pPr>
    </w:p>
    <w:p w14:paraId="07A4D74D" w14:textId="77777777" w:rsidR="00D37E7E" w:rsidRDefault="00D37E7E" w:rsidP="007812F9">
      <w:pPr>
        <w:rPr>
          <w:rFonts w:ascii="Arial" w:hAnsi="Arial" w:cs="Arial"/>
        </w:rPr>
      </w:pPr>
    </w:p>
    <w:p w14:paraId="41F870FC" w14:textId="77777777" w:rsidR="00D37E7E" w:rsidRDefault="00D37E7E" w:rsidP="007812F9">
      <w:pPr>
        <w:rPr>
          <w:rFonts w:ascii="Arial" w:hAnsi="Arial" w:cs="Arial"/>
        </w:rPr>
      </w:pPr>
    </w:p>
    <w:p w14:paraId="42B86B5A" w14:textId="77777777" w:rsidR="00D37E7E" w:rsidRDefault="00D37E7E" w:rsidP="007812F9">
      <w:pPr>
        <w:rPr>
          <w:rFonts w:ascii="Arial" w:hAnsi="Arial" w:cs="Arial"/>
        </w:rPr>
      </w:pPr>
    </w:p>
    <w:p w14:paraId="46F6FBDA" w14:textId="77777777" w:rsidR="00D37E7E" w:rsidRPr="007812F9" w:rsidRDefault="00D37E7E" w:rsidP="007812F9">
      <w:pPr>
        <w:rPr>
          <w:rFonts w:ascii="Arial" w:hAnsi="Arial" w:cs="Arial"/>
        </w:rPr>
      </w:pPr>
    </w:p>
    <w:bookmarkEnd w:id="1"/>
    <w:bookmarkEnd w:id="2"/>
    <w:bookmarkEnd w:id="5"/>
    <w:bookmarkEnd w:id="6"/>
    <w:p w14:paraId="773C333F" w14:textId="558137F1" w:rsidR="00CD012A" w:rsidRPr="008F0C59" w:rsidRDefault="00CD012A" w:rsidP="008F0C59">
      <w:pPr>
        <w:pStyle w:val="NormalWeb"/>
        <w:rPr>
          <w:color w:val="000000" w:themeColor="text1"/>
        </w:rPr>
      </w:pPr>
      <w:r>
        <w:rPr>
          <w:color w:val="FFFFFF"/>
        </w:rPr>
        <w:t>Below is a tighter replacement for the</w:t>
      </w:r>
      <w:r>
        <w:rPr>
          <w:rStyle w:val="apple-converted-space"/>
          <w:color w:val="FFFFFF"/>
        </w:rPr>
        <w:t> </w:t>
      </w:r>
      <w:r>
        <w:rPr>
          <w:rStyle w:val="Strong"/>
          <w:color w:val="FFFFFF"/>
        </w:rPr>
        <w:t>Stepwise methodological implications for RQ2</w:t>
      </w:r>
      <w:r>
        <w:rPr>
          <w:rStyle w:val="apple-converted-space"/>
          <w:color w:val="FFFFFF"/>
        </w:rPr>
        <w:t> </w:t>
      </w:r>
      <w:r>
        <w:rPr>
          <w:color w:val="FFFFFF"/>
        </w:rPr>
        <w:t>section. It makes the first empirical task a</w:t>
      </w:r>
      <w:r>
        <w:rPr>
          <w:rStyle w:val="apple-converted-space"/>
          <w:color w:val="FFFFFF"/>
        </w:rPr>
        <w:t> </w:t>
      </w:r>
      <w:r>
        <w:rPr>
          <w:rStyle w:val="Strong"/>
          <w:color w:val="FFFFFF"/>
        </w:rPr>
        <w:t>phase-based observability experiment</w:t>
      </w:r>
      <w:r>
        <w:rPr>
          <w:color w:val="FFFFFF"/>
        </w:rPr>
        <w:t>, locks the prototype on</w:t>
      </w:r>
      <w:r>
        <w:rPr>
          <w:rStyle w:val="apple-converted-space"/>
          <w:color w:val="FFFFFF"/>
        </w:rPr>
        <w:t> </w:t>
      </w:r>
      <w:r>
        <w:rPr>
          <w:rStyle w:val="Strong"/>
          <w:color w:val="FFFFFF"/>
        </w:rPr>
        <w:t>Haiyan/Yolanda in Samar–Leyte</w:t>
      </w:r>
      <w:r>
        <w:rPr>
          <w:color w:val="FFFFFF"/>
        </w:rPr>
        <w:t xml:space="preserve">, then expands to other 2012–2024 storms only after the </w:t>
      </w:r>
    </w:p>
    <w:p w14:paraId="5B86FBE9" w14:textId="77777777" w:rsidR="00CD012A" w:rsidRPr="00CE0AE2" w:rsidRDefault="00CD012A" w:rsidP="00CD012A">
      <w:pPr>
        <w:pStyle w:val="Heading2"/>
        <w:rPr>
          <w:rFonts w:ascii="Arial" w:hAnsi="Arial" w:cs="Arial"/>
          <w:b/>
          <w:bCs/>
          <w:color w:val="000000" w:themeColor="text1"/>
        </w:rPr>
      </w:pPr>
      <w:r w:rsidRPr="00CE0AE2">
        <w:rPr>
          <w:rFonts w:ascii="Arial" w:hAnsi="Arial" w:cs="Arial"/>
          <w:b/>
          <w:bCs/>
          <w:color w:val="000000" w:themeColor="text1"/>
        </w:rPr>
        <w:lastRenderedPageBreak/>
        <w:t>Revised Stepwise Methodological Implications for RQ2</w:t>
      </w:r>
    </w:p>
    <w:p w14:paraId="0EE5E4C1" w14:textId="77777777" w:rsidR="00293D7B" w:rsidRDefault="00CD012A" w:rsidP="00293D7B">
      <w:pPr>
        <w:pStyle w:val="Heading3"/>
        <w:rPr>
          <w:rFonts w:ascii="Arial" w:hAnsi="Arial" w:cs="Arial"/>
          <w:b/>
          <w:bCs/>
          <w:color w:val="0432FF"/>
          <w:sz w:val="24"/>
          <w:szCs w:val="24"/>
        </w:rPr>
      </w:pPr>
      <w:r w:rsidRPr="00293D7B">
        <w:rPr>
          <w:rFonts w:ascii="Arial" w:hAnsi="Arial" w:cs="Arial"/>
          <w:b/>
          <w:bCs/>
          <w:color w:val="0432FF"/>
          <w:sz w:val="24"/>
          <w:szCs w:val="24"/>
        </w:rPr>
        <w:t>Step 1: Lock the prototype event and define event windows</w:t>
      </w:r>
    </w:p>
    <w:p w14:paraId="5C266A5B" w14:textId="618A3A27" w:rsidR="00CD012A" w:rsidRPr="00293D7B" w:rsidRDefault="00CD012A" w:rsidP="00293D7B">
      <w:pPr>
        <w:pStyle w:val="Heading3"/>
        <w:rPr>
          <w:rFonts w:ascii="Arial" w:hAnsi="Arial" w:cs="Arial"/>
          <w:b/>
          <w:bCs/>
          <w:color w:val="0432FF"/>
          <w:sz w:val="24"/>
          <w:szCs w:val="24"/>
        </w:rPr>
      </w:pPr>
      <w:r w:rsidRPr="00293D7B">
        <w:rPr>
          <w:rFonts w:ascii="Arial" w:hAnsi="Arial" w:cs="Arial"/>
          <w:color w:val="000000" w:themeColor="text1"/>
          <w:sz w:val="24"/>
          <w:szCs w:val="24"/>
        </w:rPr>
        <w:t>The first empirical experiment should focus on</w:t>
      </w:r>
      <w:r w:rsidRPr="00293D7B">
        <w:rPr>
          <w:rStyle w:val="apple-converted-space"/>
          <w:rFonts w:ascii="Arial" w:hAnsi="Arial" w:cs="Arial"/>
          <w:color w:val="000000" w:themeColor="text1"/>
          <w:sz w:val="24"/>
          <w:szCs w:val="24"/>
        </w:rPr>
        <w:t> </w:t>
      </w:r>
      <w:r w:rsidRPr="00293D7B">
        <w:rPr>
          <w:rStyle w:val="Strong"/>
          <w:rFonts w:ascii="Arial" w:hAnsi="Arial" w:cs="Arial"/>
          <w:color w:val="000000" w:themeColor="text1"/>
          <w:sz w:val="24"/>
          <w:szCs w:val="24"/>
        </w:rPr>
        <w:t>Super Typhoon Haiyan/Yolanda in Samar–Leyte</w:t>
      </w:r>
      <w:r w:rsidRPr="00293D7B">
        <w:rPr>
          <w:rFonts w:ascii="Arial" w:hAnsi="Arial" w:cs="Arial"/>
          <w:color w:val="000000" w:themeColor="text1"/>
          <w:sz w:val="24"/>
          <w:szCs w:val="24"/>
        </w:rPr>
        <w:t>, with 8 November 2013 as the event date. The aim is not yet to produce final recovery curves, but to test whether the disaster period is sufficiently observable to support functional recovery inference from daily Black Marble.</w:t>
      </w:r>
    </w:p>
    <w:p w14:paraId="48CB0664"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Use fixed event windows informed by recent disaster-NTL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733"/>
        <w:gridCol w:w="3729"/>
        <w:gridCol w:w="2282"/>
      </w:tblGrid>
      <w:tr w:rsidR="00CD012A" w:rsidRPr="00CE0AE2" w14:paraId="42C0FA95" w14:textId="77777777" w:rsidTr="00C72A6D">
        <w:trPr>
          <w:tblHeader/>
          <w:tblCellSpacing w:w="15" w:type="dxa"/>
        </w:trPr>
        <w:tc>
          <w:tcPr>
            <w:tcW w:w="0" w:type="auto"/>
            <w:hideMark/>
          </w:tcPr>
          <w:p w14:paraId="2FC1024C" w14:textId="77777777" w:rsidR="00CD012A" w:rsidRPr="00CE0AE2" w:rsidRDefault="00CD012A" w:rsidP="00C72A6D">
            <w:pPr>
              <w:rPr>
                <w:rFonts w:ascii="Arial" w:hAnsi="Arial" w:cs="Arial"/>
                <w:b/>
                <w:bCs/>
                <w:color w:val="000000" w:themeColor="text1"/>
              </w:rPr>
            </w:pPr>
            <w:r w:rsidRPr="00CE0AE2">
              <w:rPr>
                <w:rFonts w:ascii="Arial" w:hAnsi="Arial" w:cs="Arial"/>
                <w:b/>
                <w:bCs/>
                <w:color w:val="000000" w:themeColor="text1"/>
              </w:rPr>
              <w:t>Phase</w:t>
            </w:r>
          </w:p>
        </w:tc>
        <w:tc>
          <w:tcPr>
            <w:tcW w:w="0" w:type="auto"/>
            <w:hideMark/>
          </w:tcPr>
          <w:p w14:paraId="1A81DA87" w14:textId="77777777" w:rsidR="00CD012A" w:rsidRPr="00CE0AE2" w:rsidRDefault="00CD012A" w:rsidP="00C72A6D">
            <w:pPr>
              <w:rPr>
                <w:rFonts w:ascii="Arial" w:hAnsi="Arial" w:cs="Arial"/>
                <w:b/>
                <w:bCs/>
                <w:color w:val="000000" w:themeColor="text1"/>
              </w:rPr>
            </w:pPr>
            <w:r w:rsidRPr="00CE0AE2">
              <w:rPr>
                <w:rFonts w:ascii="Arial" w:hAnsi="Arial" w:cs="Arial"/>
                <w:b/>
                <w:bCs/>
                <w:color w:val="000000" w:themeColor="text1"/>
              </w:rPr>
              <w:t>Proposed window</w:t>
            </w:r>
          </w:p>
        </w:tc>
        <w:tc>
          <w:tcPr>
            <w:tcW w:w="0" w:type="auto"/>
            <w:hideMark/>
          </w:tcPr>
          <w:p w14:paraId="02A93A5F" w14:textId="77777777" w:rsidR="00CD012A" w:rsidRPr="00CE0AE2" w:rsidRDefault="00CD012A" w:rsidP="00C72A6D">
            <w:pPr>
              <w:rPr>
                <w:rFonts w:ascii="Arial" w:hAnsi="Arial" w:cs="Arial"/>
                <w:b/>
                <w:bCs/>
                <w:color w:val="000000" w:themeColor="text1"/>
              </w:rPr>
            </w:pPr>
            <w:r w:rsidRPr="00CE0AE2">
              <w:rPr>
                <w:rFonts w:ascii="Arial" w:hAnsi="Arial" w:cs="Arial"/>
                <w:b/>
                <w:bCs/>
                <w:color w:val="000000" w:themeColor="text1"/>
              </w:rPr>
              <w:t>Literature basis</w:t>
            </w:r>
          </w:p>
        </w:tc>
        <w:tc>
          <w:tcPr>
            <w:tcW w:w="0" w:type="auto"/>
            <w:hideMark/>
          </w:tcPr>
          <w:p w14:paraId="3131135F" w14:textId="77777777" w:rsidR="00CD012A" w:rsidRPr="00CE0AE2" w:rsidRDefault="00CD012A" w:rsidP="00C72A6D">
            <w:pPr>
              <w:rPr>
                <w:rFonts w:ascii="Arial" w:hAnsi="Arial" w:cs="Arial"/>
                <w:b/>
                <w:bCs/>
                <w:color w:val="000000" w:themeColor="text1"/>
              </w:rPr>
            </w:pPr>
            <w:r w:rsidRPr="00CE0AE2">
              <w:rPr>
                <w:rFonts w:ascii="Arial" w:hAnsi="Arial" w:cs="Arial"/>
                <w:b/>
                <w:bCs/>
                <w:color w:val="000000" w:themeColor="text1"/>
              </w:rPr>
              <w:t>RQ2 purpose</w:t>
            </w:r>
          </w:p>
        </w:tc>
      </w:tr>
      <w:tr w:rsidR="00CD012A" w:rsidRPr="00CE0AE2" w14:paraId="6F826349" w14:textId="77777777" w:rsidTr="00C72A6D">
        <w:trPr>
          <w:tblCellSpacing w:w="15" w:type="dxa"/>
        </w:trPr>
        <w:tc>
          <w:tcPr>
            <w:tcW w:w="0" w:type="auto"/>
            <w:hideMark/>
          </w:tcPr>
          <w:p w14:paraId="0059F329" w14:textId="77777777" w:rsidR="00CD012A" w:rsidRPr="00CE0AE2" w:rsidRDefault="00CD012A" w:rsidP="00C72A6D">
            <w:pPr>
              <w:rPr>
                <w:rFonts w:ascii="Arial" w:hAnsi="Arial" w:cs="Arial"/>
                <w:color w:val="000000" w:themeColor="text1"/>
              </w:rPr>
            </w:pPr>
            <w:r w:rsidRPr="00CE0AE2">
              <w:rPr>
                <w:rStyle w:val="Strong"/>
                <w:rFonts w:ascii="Arial" w:hAnsi="Arial" w:cs="Arial"/>
                <w:color w:val="000000" w:themeColor="text1"/>
              </w:rPr>
              <w:t>Long baseline</w:t>
            </w:r>
          </w:p>
        </w:tc>
        <w:tc>
          <w:tcPr>
            <w:tcW w:w="0" w:type="auto"/>
            <w:hideMark/>
          </w:tcPr>
          <w:p w14:paraId="15D214E2"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-180 to -31 days</w:t>
            </w:r>
          </w:p>
        </w:tc>
        <w:tc>
          <w:tcPr>
            <w:tcW w:w="0" w:type="auto"/>
            <w:hideMark/>
          </w:tcPr>
          <w:p w14:paraId="3777E34B"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Mu et al. (2025) uses 180 pre-event days; Zheng et al. (2025) uses long pre-event modelling</w:t>
            </w:r>
          </w:p>
        </w:tc>
        <w:tc>
          <w:tcPr>
            <w:tcW w:w="0" w:type="auto"/>
            <w:hideMark/>
          </w:tcPr>
          <w:p w14:paraId="0D577724"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baseline stability, seasonality, pre-event variance</w:t>
            </w:r>
          </w:p>
        </w:tc>
      </w:tr>
      <w:tr w:rsidR="00CD012A" w:rsidRPr="00CE0AE2" w14:paraId="790CE3B5" w14:textId="77777777" w:rsidTr="00C72A6D">
        <w:trPr>
          <w:tblCellSpacing w:w="15" w:type="dxa"/>
        </w:trPr>
        <w:tc>
          <w:tcPr>
            <w:tcW w:w="0" w:type="auto"/>
            <w:hideMark/>
          </w:tcPr>
          <w:p w14:paraId="7827E519" w14:textId="77777777" w:rsidR="00CD012A" w:rsidRPr="00CE0AE2" w:rsidRDefault="00CD012A" w:rsidP="00C72A6D">
            <w:pPr>
              <w:rPr>
                <w:rFonts w:ascii="Arial" w:hAnsi="Arial" w:cs="Arial"/>
                <w:color w:val="000000" w:themeColor="text1"/>
              </w:rPr>
            </w:pPr>
            <w:r w:rsidRPr="00CE0AE2">
              <w:rPr>
                <w:rStyle w:val="Strong"/>
                <w:rFonts w:ascii="Arial" w:hAnsi="Arial" w:cs="Arial"/>
                <w:color w:val="000000" w:themeColor="text1"/>
              </w:rPr>
              <w:t>Immediate baseline</w:t>
            </w:r>
          </w:p>
        </w:tc>
        <w:tc>
          <w:tcPr>
            <w:tcW w:w="0" w:type="auto"/>
            <w:hideMark/>
          </w:tcPr>
          <w:p w14:paraId="2D8CDA68"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-90 to -8 days</w:t>
            </w:r>
          </w:p>
        </w:tc>
        <w:tc>
          <w:tcPr>
            <w:tcW w:w="0" w:type="auto"/>
            <w:hideMark/>
          </w:tcPr>
          <w:p w14:paraId="0FA39808"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Mo et al. (2025) uses a 3-month pre-storm baseline</w:t>
            </w:r>
          </w:p>
        </w:tc>
        <w:tc>
          <w:tcPr>
            <w:tcW w:w="0" w:type="auto"/>
            <w:hideMark/>
          </w:tcPr>
          <w:p w14:paraId="120C32FE"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transparent pre-event reference</w:t>
            </w:r>
          </w:p>
        </w:tc>
      </w:tr>
      <w:tr w:rsidR="00CD012A" w:rsidRPr="00CE0AE2" w14:paraId="4E2C742F" w14:textId="77777777" w:rsidTr="00C72A6D">
        <w:trPr>
          <w:tblCellSpacing w:w="15" w:type="dxa"/>
        </w:trPr>
        <w:tc>
          <w:tcPr>
            <w:tcW w:w="0" w:type="auto"/>
            <w:hideMark/>
          </w:tcPr>
          <w:p w14:paraId="7E8881BF" w14:textId="77777777" w:rsidR="00CD012A" w:rsidRPr="00CE0AE2" w:rsidRDefault="00CD012A" w:rsidP="00C72A6D">
            <w:pPr>
              <w:rPr>
                <w:rFonts w:ascii="Arial" w:hAnsi="Arial" w:cs="Arial"/>
                <w:color w:val="000000" w:themeColor="text1"/>
              </w:rPr>
            </w:pPr>
            <w:r w:rsidRPr="00CE0AE2">
              <w:rPr>
                <w:rStyle w:val="Strong"/>
                <w:rFonts w:ascii="Arial" w:hAnsi="Arial" w:cs="Arial"/>
                <w:color w:val="000000" w:themeColor="text1"/>
              </w:rPr>
              <w:t>Core shock window</w:t>
            </w:r>
          </w:p>
        </w:tc>
        <w:tc>
          <w:tcPr>
            <w:tcW w:w="0" w:type="auto"/>
            <w:hideMark/>
          </w:tcPr>
          <w:p w14:paraId="55E68B46"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-7 to +21 days</w:t>
            </w:r>
          </w:p>
        </w:tc>
        <w:tc>
          <w:tcPr>
            <w:tcW w:w="0" w:type="auto"/>
            <w:hideMark/>
          </w:tcPr>
          <w:p w14:paraId="0879E542"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Zheng et al. (2025) uses ±15 days around landfall; extended slightly for tropical cloud gaps</w:t>
            </w:r>
          </w:p>
        </w:tc>
        <w:tc>
          <w:tcPr>
            <w:tcW w:w="0" w:type="auto"/>
            <w:hideMark/>
          </w:tcPr>
          <w:p w14:paraId="475CCCDF"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detect whether impact was observable</w:t>
            </w:r>
          </w:p>
        </w:tc>
      </w:tr>
      <w:tr w:rsidR="00CD012A" w:rsidRPr="00CE0AE2" w14:paraId="78CD24AF" w14:textId="77777777" w:rsidTr="00C72A6D">
        <w:trPr>
          <w:tblCellSpacing w:w="15" w:type="dxa"/>
        </w:trPr>
        <w:tc>
          <w:tcPr>
            <w:tcW w:w="0" w:type="auto"/>
            <w:hideMark/>
          </w:tcPr>
          <w:p w14:paraId="1A71FB81" w14:textId="77777777" w:rsidR="00CD012A" w:rsidRPr="00CE0AE2" w:rsidRDefault="00CD012A" w:rsidP="00C72A6D">
            <w:pPr>
              <w:rPr>
                <w:rFonts w:ascii="Arial" w:hAnsi="Arial" w:cs="Arial"/>
                <w:color w:val="000000" w:themeColor="text1"/>
              </w:rPr>
            </w:pPr>
            <w:r w:rsidRPr="00CE0AE2">
              <w:rPr>
                <w:rStyle w:val="Strong"/>
                <w:rFonts w:ascii="Arial" w:hAnsi="Arial" w:cs="Arial"/>
                <w:color w:val="000000" w:themeColor="text1"/>
              </w:rPr>
              <w:t>Early recovery</w:t>
            </w:r>
          </w:p>
        </w:tc>
        <w:tc>
          <w:tcPr>
            <w:tcW w:w="0" w:type="auto"/>
            <w:hideMark/>
          </w:tcPr>
          <w:p w14:paraId="21CA41D5"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+22 to +90 days</w:t>
            </w:r>
          </w:p>
        </w:tc>
        <w:tc>
          <w:tcPr>
            <w:tcW w:w="0" w:type="auto"/>
            <w:hideMark/>
          </w:tcPr>
          <w:p w14:paraId="674C442B"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Román et al. (2019), Mo et al. (2025) estimate outage/recovery duration</w:t>
            </w:r>
          </w:p>
        </w:tc>
        <w:tc>
          <w:tcPr>
            <w:tcW w:w="0" w:type="auto"/>
            <w:hideMark/>
          </w:tcPr>
          <w:p w14:paraId="73E023DF"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detect rebound or persistent deficit</w:t>
            </w:r>
          </w:p>
        </w:tc>
      </w:tr>
      <w:tr w:rsidR="00CD012A" w:rsidRPr="00CE0AE2" w14:paraId="578B3FCC" w14:textId="77777777" w:rsidTr="00C72A6D">
        <w:trPr>
          <w:tblCellSpacing w:w="15" w:type="dxa"/>
        </w:trPr>
        <w:tc>
          <w:tcPr>
            <w:tcW w:w="0" w:type="auto"/>
            <w:hideMark/>
          </w:tcPr>
          <w:p w14:paraId="71054562" w14:textId="77777777" w:rsidR="00CD012A" w:rsidRPr="00CE0AE2" w:rsidRDefault="00CD012A" w:rsidP="00C72A6D">
            <w:pPr>
              <w:rPr>
                <w:rFonts w:ascii="Arial" w:hAnsi="Arial" w:cs="Arial"/>
                <w:color w:val="000000" w:themeColor="text1"/>
              </w:rPr>
            </w:pPr>
            <w:r w:rsidRPr="00CE0AE2">
              <w:rPr>
                <w:rStyle w:val="Strong"/>
                <w:rFonts w:ascii="Arial" w:hAnsi="Arial" w:cs="Arial"/>
                <w:color w:val="000000" w:themeColor="text1"/>
              </w:rPr>
              <w:t>Medium recovery</w:t>
            </w:r>
          </w:p>
        </w:tc>
        <w:tc>
          <w:tcPr>
            <w:tcW w:w="0" w:type="auto"/>
            <w:hideMark/>
          </w:tcPr>
          <w:p w14:paraId="7243AB86"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+91 to +180 days</w:t>
            </w:r>
          </w:p>
        </w:tc>
        <w:tc>
          <w:tcPr>
            <w:tcW w:w="0" w:type="auto"/>
            <w:hideMark/>
          </w:tcPr>
          <w:p w14:paraId="29181550"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Mu et al. (2025) uses 179 post-event days</w:t>
            </w:r>
          </w:p>
        </w:tc>
        <w:tc>
          <w:tcPr>
            <w:tcW w:w="0" w:type="auto"/>
            <w:hideMark/>
          </w:tcPr>
          <w:p w14:paraId="1BF66B9E"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estimate recovery envelope</w:t>
            </w:r>
          </w:p>
        </w:tc>
      </w:tr>
      <w:tr w:rsidR="00CD012A" w:rsidRPr="00CE0AE2" w14:paraId="2E0B346C" w14:textId="77777777" w:rsidTr="00C72A6D">
        <w:trPr>
          <w:tblCellSpacing w:w="15" w:type="dxa"/>
        </w:trPr>
        <w:tc>
          <w:tcPr>
            <w:tcW w:w="0" w:type="auto"/>
            <w:hideMark/>
          </w:tcPr>
          <w:p w14:paraId="141B662E" w14:textId="77777777" w:rsidR="00CD012A" w:rsidRPr="00CE0AE2" w:rsidRDefault="00CD012A" w:rsidP="00C72A6D">
            <w:pPr>
              <w:rPr>
                <w:rFonts w:ascii="Arial" w:hAnsi="Arial" w:cs="Arial"/>
                <w:color w:val="000000" w:themeColor="text1"/>
              </w:rPr>
            </w:pPr>
            <w:r w:rsidRPr="00CE0AE2">
              <w:rPr>
                <w:rStyle w:val="Strong"/>
                <w:rFonts w:ascii="Arial" w:hAnsi="Arial" w:cs="Arial"/>
                <w:color w:val="000000" w:themeColor="text1"/>
              </w:rPr>
              <w:t>Long recovery</w:t>
            </w:r>
          </w:p>
        </w:tc>
        <w:tc>
          <w:tcPr>
            <w:tcW w:w="0" w:type="auto"/>
            <w:hideMark/>
          </w:tcPr>
          <w:p w14:paraId="7A2BA9DB"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+181 to +365 days</w:t>
            </w:r>
          </w:p>
        </w:tc>
        <w:tc>
          <w:tcPr>
            <w:tcW w:w="0" w:type="auto"/>
            <w:hideMark/>
          </w:tcPr>
          <w:p w14:paraId="78202AC5"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Román et al. (2019) tracks ~195 days; Zheng et al. (2025) uses long recovery windows</w:t>
            </w:r>
          </w:p>
        </w:tc>
        <w:tc>
          <w:tcPr>
            <w:tcW w:w="0" w:type="auto"/>
            <w:hideMark/>
          </w:tcPr>
          <w:p w14:paraId="0515BD48"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test stabilization or prolonged deficit</w:t>
            </w:r>
          </w:p>
        </w:tc>
      </w:tr>
      <w:tr w:rsidR="00CD012A" w:rsidRPr="00CE0AE2" w14:paraId="09F31188" w14:textId="77777777" w:rsidTr="00C72A6D">
        <w:trPr>
          <w:tblCellSpacing w:w="15" w:type="dxa"/>
        </w:trPr>
        <w:tc>
          <w:tcPr>
            <w:tcW w:w="0" w:type="auto"/>
            <w:hideMark/>
          </w:tcPr>
          <w:p w14:paraId="7EE6CEB9" w14:textId="77777777" w:rsidR="00CD012A" w:rsidRPr="00CE0AE2" w:rsidRDefault="00CD012A" w:rsidP="00C72A6D">
            <w:pPr>
              <w:rPr>
                <w:rFonts w:ascii="Arial" w:hAnsi="Arial" w:cs="Arial"/>
                <w:color w:val="000000" w:themeColor="text1"/>
              </w:rPr>
            </w:pPr>
            <w:r w:rsidRPr="00CE0AE2">
              <w:rPr>
                <w:rStyle w:val="Strong"/>
                <w:rFonts w:ascii="Arial" w:hAnsi="Arial" w:cs="Arial"/>
                <w:color w:val="000000" w:themeColor="text1"/>
              </w:rPr>
              <w:t>Extended recovery</w:t>
            </w:r>
          </w:p>
        </w:tc>
        <w:tc>
          <w:tcPr>
            <w:tcW w:w="0" w:type="auto"/>
            <w:hideMark/>
          </w:tcPr>
          <w:p w14:paraId="779597F3"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+366 to +730 days, Haiyan only</w:t>
            </w:r>
          </w:p>
        </w:tc>
        <w:tc>
          <w:tcPr>
            <w:tcW w:w="0" w:type="auto"/>
            <w:hideMark/>
          </w:tcPr>
          <w:p w14:paraId="40F33226"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Zheng et al. (2025) allows long recovery assessment</w:t>
            </w:r>
          </w:p>
        </w:tc>
        <w:tc>
          <w:tcPr>
            <w:tcW w:w="0" w:type="auto"/>
            <w:hideMark/>
          </w:tcPr>
          <w:p w14:paraId="4CD7B2CC" w14:textId="77777777" w:rsidR="00CD012A" w:rsidRPr="00293D7B" w:rsidRDefault="00CD012A" w:rsidP="00C72A6D">
            <w:pPr>
              <w:rPr>
                <w:rFonts w:ascii="Arial" w:hAnsi="Arial" w:cs="Arial"/>
                <w:color w:val="000000" w:themeColor="text1"/>
                <w:sz w:val="20"/>
                <w:szCs w:val="20"/>
              </w:rPr>
            </w:pPr>
            <w:r w:rsidRPr="00293D7B">
              <w:rPr>
                <w:rFonts w:ascii="Arial" w:hAnsi="Arial" w:cs="Arial"/>
                <w:color w:val="000000" w:themeColor="text1"/>
                <w:sz w:val="20"/>
                <w:szCs w:val="20"/>
              </w:rPr>
              <w:t>check if apparent non-recovery is delayed recovery</w:t>
            </w:r>
          </w:p>
        </w:tc>
      </w:tr>
    </w:tbl>
    <w:p w14:paraId="51F7C81E" w14:textId="542010CE" w:rsidR="00CD012A" w:rsidRPr="00CE0AE2" w:rsidRDefault="00CD012A" w:rsidP="00293D7B">
      <w:pPr>
        <w:pStyle w:val="NormalWeb"/>
        <w:rPr>
          <w:rFonts w:ascii="Arial" w:hAnsi="Arial" w:cs="Arial"/>
          <w:color w:val="000000" w:themeColor="text1"/>
        </w:rPr>
      </w:pPr>
      <w:r w:rsidRPr="00CE0AE2">
        <w:rPr>
          <w:rFonts w:ascii="Arial" w:hAnsi="Arial" w:cs="Arial"/>
          <w:color w:val="000000" w:themeColor="text1"/>
        </w:rPr>
        <w:t>These windows should be used first for Haiyan, then reused for all Samar–Leyte storm events to make the experiment comparable.</w:t>
      </w:r>
    </w:p>
    <w:p w14:paraId="29C50562" w14:textId="77777777" w:rsidR="00CD012A" w:rsidRPr="00293D7B" w:rsidRDefault="00CD012A" w:rsidP="00CD012A">
      <w:pPr>
        <w:pStyle w:val="Heading3"/>
        <w:rPr>
          <w:rFonts w:ascii="Arial" w:hAnsi="Arial" w:cs="Arial"/>
          <w:b/>
          <w:bCs/>
          <w:color w:val="0432FF"/>
        </w:rPr>
      </w:pPr>
      <w:r w:rsidRPr="00293D7B">
        <w:rPr>
          <w:rFonts w:ascii="Arial" w:hAnsi="Arial" w:cs="Arial"/>
          <w:b/>
          <w:bCs/>
          <w:color w:val="0432FF"/>
        </w:rPr>
        <w:t>Step 2: Run a phase-based observability audit before modelling recovery</w:t>
      </w:r>
    </w:p>
    <w:p w14:paraId="066C5C51"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For each event window, compute observability before estimating shock or recovery. The core question is:</w:t>
      </w:r>
    </w:p>
    <w:p w14:paraId="061E4F7E"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lastRenderedPageBreak/>
        <w:t>Was the baseline observable? Was the shock observable? Was recovery observable enough to estimate timing?</w:t>
      </w:r>
    </w:p>
    <w:p w14:paraId="53DC53DD"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Minimum observability metrics per region, GHSL class, and extent:</w:t>
      </w:r>
    </w:p>
    <w:p w14:paraId="468A1CE0"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total pixels;</w:t>
      </w:r>
    </w:p>
    <w:p w14:paraId="3B82A42D"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valid DNB-BRDF pixels;</w:t>
      </w:r>
    </w:p>
    <w:p w14:paraId="1DE13448"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valid-pixel percentage;</w:t>
      </w:r>
    </w:p>
    <w:p w14:paraId="639F7124"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number of valid days per phase;</w:t>
      </w:r>
    </w:p>
    <w:p w14:paraId="76C45AC0"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longest consecutive observation gap per phase;</w:t>
      </w:r>
    </w:p>
    <w:p w14:paraId="65DA6E6F"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days from landfall to first valid post-event observation;</w:t>
      </w:r>
    </w:p>
    <w:p w14:paraId="07CB8DBE"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median gap between valid observations during recovery;</w:t>
      </w:r>
    </w:p>
    <w:p w14:paraId="27095757"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baseline radiance mean, median, CV, and IQR;</w:t>
      </w:r>
    </w:p>
    <w:p w14:paraId="2C68699E"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proportion of the profile supplied only by gap-filled values;</w:t>
      </w:r>
    </w:p>
    <w:p w14:paraId="3CA8910A" w14:textId="77777777" w:rsidR="00CD012A" w:rsidRPr="00CE0AE2" w:rsidRDefault="00CD012A" w:rsidP="00CD012A">
      <w:pPr>
        <w:pStyle w:val="NormalWeb"/>
        <w:numPr>
          <w:ilvl w:val="0"/>
          <w:numId w:val="20"/>
        </w:numPr>
        <w:rPr>
          <w:rFonts w:ascii="Arial" w:hAnsi="Arial" w:cs="Arial"/>
          <w:color w:val="000000" w:themeColor="text1"/>
        </w:rPr>
      </w:pPr>
      <w:r w:rsidRPr="00CE0AE2">
        <w:rPr>
          <w:rFonts w:ascii="Arial" w:hAnsi="Arial" w:cs="Arial"/>
          <w:color w:val="000000" w:themeColor="text1"/>
        </w:rPr>
        <w:t>VZA distribution by phase.</w:t>
      </w:r>
    </w:p>
    <w:p w14:paraId="29D100C7"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This makes observability the first result, not a preprocessing footnote.</w:t>
      </w:r>
    </w:p>
    <w:p w14:paraId="5217AB75" w14:textId="77777777" w:rsidR="00CD012A" w:rsidRPr="00CE0AE2" w:rsidRDefault="002E02BA" w:rsidP="00CD012A">
      <w:pPr>
        <w:rPr>
          <w:rFonts w:ascii="Arial" w:hAnsi="Arial" w:cs="Arial"/>
          <w:color w:val="000000" w:themeColor="text1"/>
        </w:rPr>
      </w:pPr>
      <w:r>
        <w:rPr>
          <w:noProof/>
        </w:rPr>
      </w:r>
      <w:r>
        <w:pict w14:anchorId="41A5A75F">
          <v:rect id="Horizontal Line 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19872F" w14:textId="77777777" w:rsidR="00CD012A" w:rsidRPr="00835CA1" w:rsidRDefault="00CD012A" w:rsidP="00CD012A">
      <w:pPr>
        <w:pStyle w:val="Heading3"/>
        <w:rPr>
          <w:rFonts w:ascii="Arial" w:hAnsi="Arial" w:cs="Arial"/>
          <w:b/>
          <w:bCs/>
          <w:color w:val="0432FF"/>
          <w:sz w:val="24"/>
          <w:szCs w:val="24"/>
        </w:rPr>
      </w:pPr>
      <w:r w:rsidRPr="00835CA1">
        <w:rPr>
          <w:rFonts w:ascii="Arial" w:hAnsi="Arial" w:cs="Arial"/>
          <w:b/>
          <w:bCs/>
          <w:color w:val="0432FF"/>
          <w:sz w:val="24"/>
          <w:szCs w:val="24"/>
        </w:rPr>
        <w:t>Step 3: Classify each unit before recovery interpretation</w:t>
      </w:r>
    </w:p>
    <w:p w14:paraId="7B64148D"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Each spatial unit should receive an observation-admissibility label: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4493"/>
        <w:gridCol w:w="2840"/>
      </w:tblGrid>
      <w:tr w:rsidR="00CD012A" w:rsidRPr="00CE0AE2" w14:paraId="0C342012" w14:textId="77777777">
        <w:trPr>
          <w:tblHeader/>
          <w:tblCellSpacing w:w="15" w:type="dxa"/>
        </w:trPr>
        <w:tc>
          <w:tcPr>
            <w:tcW w:w="0" w:type="auto"/>
            <w:vAlign w:val="center"/>
            <w:hideMark/>
          </w:tcPr>
          <w:p w14:paraId="49755670" w14:textId="77777777" w:rsidR="00CD012A" w:rsidRPr="00CE0AE2" w:rsidRDefault="00CD012A">
            <w:pPr>
              <w:jc w:val="center"/>
              <w:rPr>
                <w:rFonts w:ascii="Arial" w:hAnsi="Arial" w:cs="Arial"/>
                <w:b/>
                <w:bCs/>
                <w:color w:val="000000" w:themeColor="text1"/>
              </w:rPr>
            </w:pPr>
            <w:r w:rsidRPr="00CE0AE2">
              <w:rPr>
                <w:rFonts w:ascii="Arial" w:hAnsi="Arial" w:cs="Arial"/>
                <w:b/>
                <w:bCs/>
                <w:color w:val="000000" w:themeColor="text1"/>
              </w:rPr>
              <w:t>Label</w:t>
            </w:r>
          </w:p>
        </w:tc>
        <w:tc>
          <w:tcPr>
            <w:tcW w:w="0" w:type="auto"/>
            <w:vAlign w:val="center"/>
            <w:hideMark/>
          </w:tcPr>
          <w:p w14:paraId="3581F236" w14:textId="77777777" w:rsidR="00CD012A" w:rsidRPr="00CE0AE2" w:rsidRDefault="00CD012A">
            <w:pPr>
              <w:jc w:val="center"/>
              <w:rPr>
                <w:rFonts w:ascii="Arial" w:hAnsi="Arial" w:cs="Arial"/>
                <w:b/>
                <w:bCs/>
                <w:color w:val="000000" w:themeColor="text1"/>
              </w:rPr>
            </w:pPr>
            <w:r w:rsidRPr="00CE0AE2">
              <w:rPr>
                <w:rFonts w:ascii="Arial" w:hAnsi="Arial" w:cs="Arial"/>
                <w:b/>
                <w:bCs/>
                <w:color w:val="000000" w:themeColor="text1"/>
              </w:rPr>
              <w:t>Condition</w:t>
            </w:r>
          </w:p>
        </w:tc>
        <w:tc>
          <w:tcPr>
            <w:tcW w:w="0" w:type="auto"/>
            <w:vAlign w:val="center"/>
            <w:hideMark/>
          </w:tcPr>
          <w:p w14:paraId="5535CE31" w14:textId="77777777" w:rsidR="00CD012A" w:rsidRPr="00CE0AE2" w:rsidRDefault="00CD012A">
            <w:pPr>
              <w:jc w:val="center"/>
              <w:rPr>
                <w:rFonts w:ascii="Arial" w:hAnsi="Arial" w:cs="Arial"/>
                <w:b/>
                <w:bCs/>
                <w:color w:val="000000" w:themeColor="text1"/>
              </w:rPr>
            </w:pPr>
            <w:r w:rsidRPr="00CE0AE2">
              <w:rPr>
                <w:rFonts w:ascii="Arial" w:hAnsi="Arial" w:cs="Arial"/>
                <w:b/>
                <w:bCs/>
                <w:color w:val="000000" w:themeColor="text1"/>
              </w:rPr>
              <w:t>Permitted interpretation</w:t>
            </w:r>
          </w:p>
        </w:tc>
      </w:tr>
      <w:tr w:rsidR="00CD012A" w:rsidRPr="00CE0AE2" w14:paraId="1D33C9E2" w14:textId="77777777">
        <w:trPr>
          <w:tblCellSpacing w:w="15" w:type="dxa"/>
        </w:trPr>
        <w:tc>
          <w:tcPr>
            <w:tcW w:w="0" w:type="auto"/>
            <w:vAlign w:val="center"/>
            <w:hideMark/>
          </w:tcPr>
          <w:p w14:paraId="46BF0617"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Profile admissible</w:t>
            </w:r>
          </w:p>
        </w:tc>
        <w:tc>
          <w:tcPr>
            <w:tcW w:w="0" w:type="auto"/>
            <w:vAlign w:val="center"/>
            <w:hideMark/>
          </w:tcPr>
          <w:p w14:paraId="295978FF"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baseline, shock, and recovery windows have sufficient valid observations</w:t>
            </w:r>
          </w:p>
        </w:tc>
        <w:tc>
          <w:tcPr>
            <w:tcW w:w="0" w:type="auto"/>
            <w:vAlign w:val="center"/>
            <w:hideMark/>
          </w:tcPr>
          <w:p w14:paraId="6883A3E7"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estimate full shock and recovery metrics</w:t>
            </w:r>
          </w:p>
        </w:tc>
      </w:tr>
      <w:tr w:rsidR="00CD012A" w:rsidRPr="00CE0AE2" w14:paraId="0B8694A9" w14:textId="77777777">
        <w:trPr>
          <w:tblCellSpacing w:w="15" w:type="dxa"/>
        </w:trPr>
        <w:tc>
          <w:tcPr>
            <w:tcW w:w="0" w:type="auto"/>
            <w:vAlign w:val="center"/>
            <w:hideMark/>
          </w:tcPr>
          <w:p w14:paraId="66D4AB55"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Envelope only</w:t>
            </w:r>
          </w:p>
        </w:tc>
        <w:tc>
          <w:tcPr>
            <w:tcW w:w="0" w:type="auto"/>
            <w:vAlign w:val="center"/>
            <w:hideMark/>
          </w:tcPr>
          <w:p w14:paraId="07BDB99E"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baseline and broad recovery are observable, but gaps prevent precise timing</w:t>
            </w:r>
          </w:p>
        </w:tc>
        <w:tc>
          <w:tcPr>
            <w:tcW w:w="0" w:type="auto"/>
            <w:vAlign w:val="center"/>
            <w:hideMark/>
          </w:tcPr>
          <w:p w14:paraId="14869ECB"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report recovery range, not exact T80/T90</w:t>
            </w:r>
          </w:p>
        </w:tc>
      </w:tr>
      <w:tr w:rsidR="00CD012A" w:rsidRPr="00CE0AE2" w14:paraId="19CE4F40" w14:textId="77777777">
        <w:trPr>
          <w:tblCellSpacing w:w="15" w:type="dxa"/>
        </w:trPr>
        <w:tc>
          <w:tcPr>
            <w:tcW w:w="0" w:type="auto"/>
            <w:vAlign w:val="center"/>
            <w:hideMark/>
          </w:tcPr>
          <w:p w14:paraId="4501D2BD"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Shock only</w:t>
            </w:r>
          </w:p>
        </w:tc>
        <w:tc>
          <w:tcPr>
            <w:tcW w:w="0" w:type="auto"/>
            <w:vAlign w:val="center"/>
            <w:hideMark/>
          </w:tcPr>
          <w:p w14:paraId="71FE711A"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baseline and shock are observable, but recovery is too sparse</w:t>
            </w:r>
          </w:p>
        </w:tc>
        <w:tc>
          <w:tcPr>
            <w:tcW w:w="0" w:type="auto"/>
            <w:vAlign w:val="center"/>
            <w:hideMark/>
          </w:tcPr>
          <w:p w14:paraId="4945E77C"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report impact, not recovery</w:t>
            </w:r>
          </w:p>
        </w:tc>
      </w:tr>
      <w:tr w:rsidR="00CD012A" w:rsidRPr="00CE0AE2" w14:paraId="009E8FA1" w14:textId="77777777">
        <w:trPr>
          <w:tblCellSpacing w:w="15" w:type="dxa"/>
        </w:trPr>
        <w:tc>
          <w:tcPr>
            <w:tcW w:w="0" w:type="auto"/>
            <w:vAlign w:val="center"/>
            <w:hideMark/>
          </w:tcPr>
          <w:p w14:paraId="1AC2FD81"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Not observable</w:t>
            </w:r>
          </w:p>
        </w:tc>
        <w:tc>
          <w:tcPr>
            <w:tcW w:w="0" w:type="auto"/>
            <w:vAlign w:val="center"/>
            <w:hideMark/>
          </w:tcPr>
          <w:p w14:paraId="4583FAA1"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shock or recovery windows lack valid support</w:t>
            </w:r>
          </w:p>
        </w:tc>
        <w:tc>
          <w:tcPr>
            <w:tcW w:w="0" w:type="auto"/>
            <w:vAlign w:val="center"/>
            <w:hideMark/>
          </w:tcPr>
          <w:p w14:paraId="7332D83D"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no recovery inference</w:t>
            </w:r>
          </w:p>
        </w:tc>
      </w:tr>
      <w:tr w:rsidR="00CD012A" w:rsidRPr="00CE0AE2" w14:paraId="03107950" w14:textId="77777777">
        <w:trPr>
          <w:tblCellSpacing w:w="15" w:type="dxa"/>
        </w:trPr>
        <w:tc>
          <w:tcPr>
            <w:tcW w:w="0" w:type="auto"/>
            <w:vAlign w:val="center"/>
            <w:hideMark/>
          </w:tcPr>
          <w:p w14:paraId="5DF8C384"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Low-signal / unstable</w:t>
            </w:r>
          </w:p>
        </w:tc>
        <w:tc>
          <w:tcPr>
            <w:tcW w:w="0" w:type="auto"/>
            <w:vAlign w:val="center"/>
            <w:hideMark/>
          </w:tcPr>
          <w:p w14:paraId="2B71895B"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baseline radiance too dim or variable</w:t>
            </w:r>
          </w:p>
        </w:tc>
        <w:tc>
          <w:tcPr>
            <w:tcW w:w="0" w:type="auto"/>
            <w:vAlign w:val="center"/>
            <w:hideMark/>
          </w:tcPr>
          <w:p w14:paraId="3DAF244D" w14:textId="77777777" w:rsidR="00CD012A" w:rsidRPr="00835CA1" w:rsidRDefault="00CD012A">
            <w:pPr>
              <w:rPr>
                <w:rFonts w:ascii="Arial" w:hAnsi="Arial" w:cs="Arial"/>
                <w:color w:val="000000" w:themeColor="text1"/>
                <w:sz w:val="20"/>
                <w:szCs w:val="20"/>
              </w:rPr>
            </w:pPr>
            <w:r w:rsidRPr="00835CA1">
              <w:rPr>
                <w:rFonts w:ascii="Arial" w:hAnsi="Arial" w:cs="Arial"/>
                <w:color w:val="000000" w:themeColor="text1"/>
                <w:sz w:val="20"/>
                <w:szCs w:val="20"/>
              </w:rPr>
              <w:t>aggregate, downgrade, or exclude</w:t>
            </w:r>
          </w:p>
        </w:tc>
      </w:tr>
    </w:tbl>
    <w:p w14:paraId="2A0AB5A6"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This is the operational distinction between</w:t>
      </w:r>
      <w:r w:rsidRPr="00CE0AE2">
        <w:rPr>
          <w:rStyle w:val="apple-converted-space"/>
          <w:rFonts w:ascii="Arial" w:hAnsi="Arial" w:cs="Arial"/>
          <w:color w:val="000000" w:themeColor="text1"/>
        </w:rPr>
        <w:t> </w:t>
      </w:r>
      <w:r w:rsidRPr="00CE0AE2">
        <w:rPr>
          <w:rStyle w:val="Strong"/>
          <w:rFonts w:ascii="Arial" w:hAnsi="Arial" w:cs="Arial"/>
          <w:color w:val="000000" w:themeColor="text1"/>
        </w:rPr>
        <w:t>not recovered</w:t>
      </w:r>
      <w:r w:rsidRPr="00CE0AE2">
        <w:rPr>
          <w:rStyle w:val="apple-converted-space"/>
          <w:rFonts w:ascii="Arial" w:hAnsi="Arial" w:cs="Arial"/>
          <w:color w:val="000000" w:themeColor="text1"/>
        </w:rPr>
        <w:t> </w:t>
      </w:r>
      <w:r w:rsidRPr="00CE0AE2">
        <w:rPr>
          <w:rFonts w:ascii="Arial" w:hAnsi="Arial" w:cs="Arial"/>
          <w:color w:val="000000" w:themeColor="text1"/>
        </w:rPr>
        <w:t>and</w:t>
      </w:r>
      <w:r w:rsidRPr="00CE0AE2">
        <w:rPr>
          <w:rStyle w:val="apple-converted-space"/>
          <w:rFonts w:ascii="Arial" w:hAnsi="Arial" w:cs="Arial"/>
          <w:color w:val="000000" w:themeColor="text1"/>
        </w:rPr>
        <w:t> </w:t>
      </w:r>
      <w:r w:rsidRPr="00CE0AE2">
        <w:rPr>
          <w:rStyle w:val="Strong"/>
          <w:rFonts w:ascii="Arial" w:hAnsi="Arial" w:cs="Arial"/>
          <w:color w:val="000000" w:themeColor="text1"/>
        </w:rPr>
        <w:t>not observable</w:t>
      </w:r>
      <w:r w:rsidRPr="00CE0AE2">
        <w:rPr>
          <w:rFonts w:ascii="Arial" w:hAnsi="Arial" w:cs="Arial"/>
          <w:color w:val="000000" w:themeColor="text1"/>
        </w:rPr>
        <w:t>.</w:t>
      </w:r>
    </w:p>
    <w:p w14:paraId="77E77500" w14:textId="77777777" w:rsidR="00CD012A" w:rsidRPr="00CE0AE2" w:rsidRDefault="002E02BA" w:rsidP="00CD012A">
      <w:pPr>
        <w:rPr>
          <w:rFonts w:ascii="Arial" w:hAnsi="Arial" w:cs="Arial"/>
          <w:color w:val="000000" w:themeColor="text1"/>
        </w:rPr>
      </w:pPr>
      <w:r>
        <w:rPr>
          <w:noProof/>
        </w:rPr>
      </w:r>
      <w:r>
        <w:pict w14:anchorId="501A706F">
          <v:rect id="Horizontal Line 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806DBA" w14:textId="77777777" w:rsidR="00CD012A" w:rsidRPr="006F2719" w:rsidRDefault="00CD012A" w:rsidP="00CD012A">
      <w:pPr>
        <w:pStyle w:val="Heading3"/>
        <w:rPr>
          <w:rFonts w:ascii="Arial" w:hAnsi="Arial" w:cs="Arial"/>
          <w:b/>
          <w:bCs/>
          <w:color w:val="0432FF"/>
          <w:sz w:val="24"/>
          <w:szCs w:val="24"/>
        </w:rPr>
      </w:pPr>
      <w:r w:rsidRPr="006F2719">
        <w:rPr>
          <w:rFonts w:ascii="Arial" w:hAnsi="Arial" w:cs="Arial"/>
          <w:b/>
          <w:bCs/>
          <w:color w:val="0432FF"/>
          <w:sz w:val="24"/>
          <w:szCs w:val="24"/>
        </w:rPr>
        <w:lastRenderedPageBreak/>
        <w:t>Step 4: Compare observed DNB-BRDF against gap-filled NTL</w:t>
      </w:r>
    </w:p>
    <w:p w14:paraId="2AFE1B44"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Use</w:t>
      </w:r>
      <w:r w:rsidRPr="00CE0AE2">
        <w:rPr>
          <w:rStyle w:val="apple-converted-space"/>
          <w:rFonts w:ascii="Arial" w:hAnsi="Arial" w:cs="Arial"/>
          <w:color w:val="000000" w:themeColor="text1"/>
        </w:rPr>
        <w:t> </w:t>
      </w:r>
      <w:r w:rsidRPr="00CE0AE2">
        <w:rPr>
          <w:rStyle w:val="HTMLCode"/>
          <w:rFonts w:ascii="Arial" w:hAnsi="Arial" w:cs="Arial"/>
          <w:color w:val="000000" w:themeColor="text1"/>
        </w:rPr>
        <w:t>DNB_BRDF_Corrected_NTL</w:t>
      </w:r>
      <w:r w:rsidRPr="00CE0AE2">
        <w:rPr>
          <w:rStyle w:val="apple-converted-space"/>
          <w:rFonts w:ascii="Arial" w:hAnsi="Arial" w:cs="Arial"/>
          <w:color w:val="000000" w:themeColor="text1"/>
        </w:rPr>
        <w:t> </w:t>
      </w:r>
      <w:r w:rsidRPr="00CE0AE2">
        <w:rPr>
          <w:rFonts w:ascii="Arial" w:hAnsi="Arial" w:cs="Arial"/>
          <w:color w:val="000000" w:themeColor="text1"/>
        </w:rPr>
        <w:t>as the primary evidentiary signal. Use</w:t>
      </w:r>
      <w:r w:rsidRPr="00CE0AE2">
        <w:rPr>
          <w:rStyle w:val="apple-converted-space"/>
          <w:rFonts w:ascii="Arial" w:hAnsi="Arial" w:cs="Arial"/>
          <w:color w:val="000000" w:themeColor="text1"/>
        </w:rPr>
        <w:t> </w:t>
      </w:r>
      <w:r w:rsidRPr="00CE0AE2">
        <w:rPr>
          <w:rStyle w:val="HTMLCode"/>
          <w:rFonts w:ascii="Arial" w:hAnsi="Arial" w:cs="Arial"/>
          <w:color w:val="000000" w:themeColor="text1"/>
        </w:rPr>
        <w:t>Gap_Filled_DNB_BRDF_Corrected_NTL</w:t>
      </w:r>
      <w:r w:rsidRPr="00CE0AE2">
        <w:rPr>
          <w:rStyle w:val="apple-converted-space"/>
          <w:rFonts w:ascii="Arial" w:hAnsi="Arial" w:cs="Arial"/>
          <w:color w:val="000000" w:themeColor="text1"/>
        </w:rPr>
        <w:t> </w:t>
      </w:r>
      <w:r w:rsidRPr="00CE0AE2">
        <w:rPr>
          <w:rFonts w:ascii="Arial" w:hAnsi="Arial" w:cs="Arial"/>
          <w:color w:val="000000" w:themeColor="text1"/>
        </w:rPr>
        <w:t>only as a diagnostic comparison.</w:t>
      </w:r>
    </w:p>
    <w:p w14:paraId="7168B6FF"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For each event and spatial unit, compare:</w:t>
      </w:r>
    </w:p>
    <w:p w14:paraId="594156C9" w14:textId="77777777" w:rsidR="00CD012A" w:rsidRPr="00CE0AE2" w:rsidRDefault="00CD012A" w:rsidP="00CD012A">
      <w:pPr>
        <w:pStyle w:val="NormalWeb"/>
        <w:numPr>
          <w:ilvl w:val="0"/>
          <w:numId w:val="21"/>
        </w:numPr>
        <w:rPr>
          <w:rFonts w:ascii="Arial" w:hAnsi="Arial" w:cs="Arial"/>
          <w:color w:val="000000" w:themeColor="text1"/>
        </w:rPr>
      </w:pPr>
      <w:r w:rsidRPr="00CE0AE2">
        <w:rPr>
          <w:rFonts w:ascii="Arial" w:hAnsi="Arial" w:cs="Arial"/>
          <w:color w:val="000000" w:themeColor="text1"/>
        </w:rPr>
        <w:t>observed shock magnitude;</w:t>
      </w:r>
    </w:p>
    <w:p w14:paraId="3AAB4A7E" w14:textId="77777777" w:rsidR="00CD012A" w:rsidRPr="00CE0AE2" w:rsidRDefault="00CD012A" w:rsidP="00CD012A">
      <w:pPr>
        <w:pStyle w:val="NormalWeb"/>
        <w:numPr>
          <w:ilvl w:val="0"/>
          <w:numId w:val="21"/>
        </w:numPr>
        <w:rPr>
          <w:rFonts w:ascii="Arial" w:hAnsi="Arial" w:cs="Arial"/>
          <w:color w:val="000000" w:themeColor="text1"/>
        </w:rPr>
      </w:pPr>
      <w:r w:rsidRPr="00CE0AE2">
        <w:rPr>
          <w:rFonts w:ascii="Arial" w:hAnsi="Arial" w:cs="Arial"/>
          <w:color w:val="000000" w:themeColor="text1"/>
        </w:rPr>
        <w:t>gap-filled shock magnitude;</w:t>
      </w:r>
    </w:p>
    <w:p w14:paraId="585585B6" w14:textId="77777777" w:rsidR="00CD012A" w:rsidRPr="00CE0AE2" w:rsidRDefault="00CD012A" w:rsidP="00CD012A">
      <w:pPr>
        <w:pStyle w:val="NormalWeb"/>
        <w:numPr>
          <w:ilvl w:val="0"/>
          <w:numId w:val="21"/>
        </w:numPr>
        <w:rPr>
          <w:rFonts w:ascii="Arial" w:hAnsi="Arial" w:cs="Arial"/>
          <w:color w:val="000000" w:themeColor="text1"/>
        </w:rPr>
      </w:pPr>
      <w:r w:rsidRPr="00CE0AE2">
        <w:rPr>
          <w:rFonts w:ascii="Arial" w:hAnsi="Arial" w:cs="Arial"/>
          <w:color w:val="000000" w:themeColor="text1"/>
        </w:rPr>
        <w:t>event timing;</w:t>
      </w:r>
    </w:p>
    <w:p w14:paraId="63F76AF6" w14:textId="77777777" w:rsidR="00CD012A" w:rsidRPr="00CE0AE2" w:rsidRDefault="00CD012A" w:rsidP="00CD012A">
      <w:pPr>
        <w:pStyle w:val="NormalWeb"/>
        <w:numPr>
          <w:ilvl w:val="0"/>
          <w:numId w:val="21"/>
        </w:numPr>
        <w:rPr>
          <w:rFonts w:ascii="Arial" w:hAnsi="Arial" w:cs="Arial"/>
          <w:color w:val="000000" w:themeColor="text1"/>
        </w:rPr>
      </w:pPr>
      <w:r w:rsidRPr="00CE0AE2">
        <w:rPr>
          <w:rFonts w:ascii="Arial" w:hAnsi="Arial" w:cs="Arial"/>
          <w:color w:val="000000" w:themeColor="text1"/>
        </w:rPr>
        <w:t>cumulative deficit;</w:t>
      </w:r>
    </w:p>
    <w:p w14:paraId="25CF4306" w14:textId="77777777" w:rsidR="00CD012A" w:rsidRPr="00CE0AE2" w:rsidRDefault="00CD012A" w:rsidP="00CD012A">
      <w:pPr>
        <w:pStyle w:val="NormalWeb"/>
        <w:numPr>
          <w:ilvl w:val="0"/>
          <w:numId w:val="21"/>
        </w:numPr>
        <w:rPr>
          <w:rFonts w:ascii="Arial" w:hAnsi="Arial" w:cs="Arial"/>
          <w:color w:val="000000" w:themeColor="text1"/>
        </w:rPr>
      </w:pPr>
      <w:r w:rsidRPr="00CE0AE2">
        <w:rPr>
          <w:rFonts w:ascii="Arial" w:hAnsi="Arial" w:cs="Arial"/>
          <w:color w:val="000000" w:themeColor="text1"/>
        </w:rPr>
        <w:t>T50 / T80 / T90;</w:t>
      </w:r>
    </w:p>
    <w:p w14:paraId="1B4B06FD" w14:textId="77777777" w:rsidR="00CD012A" w:rsidRPr="00CE0AE2" w:rsidRDefault="00CD012A" w:rsidP="00CD012A">
      <w:pPr>
        <w:pStyle w:val="NormalWeb"/>
        <w:numPr>
          <w:ilvl w:val="0"/>
          <w:numId w:val="21"/>
        </w:numPr>
        <w:rPr>
          <w:rFonts w:ascii="Arial" w:hAnsi="Arial" w:cs="Arial"/>
          <w:color w:val="000000" w:themeColor="text1"/>
        </w:rPr>
      </w:pPr>
      <w:r w:rsidRPr="00CE0AE2">
        <w:rPr>
          <w:rFonts w:ascii="Arial" w:hAnsi="Arial" w:cs="Arial"/>
          <w:color w:val="000000" w:themeColor="text1"/>
        </w:rPr>
        <w:t>duration below baseline;</w:t>
      </w:r>
    </w:p>
    <w:p w14:paraId="2857C82A" w14:textId="77777777" w:rsidR="00CD012A" w:rsidRPr="00CE0AE2" w:rsidRDefault="00CD012A" w:rsidP="00CD012A">
      <w:pPr>
        <w:pStyle w:val="NormalWeb"/>
        <w:numPr>
          <w:ilvl w:val="0"/>
          <w:numId w:val="21"/>
        </w:numPr>
        <w:rPr>
          <w:rFonts w:ascii="Arial" w:hAnsi="Arial" w:cs="Arial"/>
          <w:color w:val="000000" w:themeColor="text1"/>
        </w:rPr>
      </w:pPr>
      <w:r w:rsidRPr="00CE0AE2">
        <w:rPr>
          <w:rFonts w:ascii="Arial" w:hAnsi="Arial" w:cs="Arial"/>
          <w:color w:val="000000" w:themeColor="text1"/>
        </w:rPr>
        <w:t>recovery slope;</w:t>
      </w:r>
    </w:p>
    <w:p w14:paraId="4AA6CC33" w14:textId="77777777" w:rsidR="00CD012A" w:rsidRPr="00CE0AE2" w:rsidRDefault="00CD012A" w:rsidP="00CD012A">
      <w:pPr>
        <w:pStyle w:val="NormalWeb"/>
        <w:numPr>
          <w:ilvl w:val="0"/>
          <w:numId w:val="21"/>
        </w:numPr>
        <w:rPr>
          <w:rFonts w:ascii="Arial" w:hAnsi="Arial" w:cs="Arial"/>
          <w:color w:val="000000" w:themeColor="text1"/>
        </w:rPr>
      </w:pPr>
      <w:r w:rsidRPr="00CE0AE2">
        <w:rPr>
          <w:rFonts w:ascii="Arial" w:hAnsi="Arial" w:cs="Arial"/>
          <w:color w:val="000000" w:themeColor="text1"/>
        </w:rPr>
        <w:t>post-event stability.</w:t>
      </w:r>
    </w:p>
    <w:p w14:paraId="7BF48B4D"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Report product sensitivity explicitly: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3"/>
        <w:gridCol w:w="5889"/>
      </w:tblGrid>
      <w:tr w:rsidR="00CD012A" w:rsidRPr="00CE0AE2" w14:paraId="671F96A0" w14:textId="77777777">
        <w:trPr>
          <w:tblHeader/>
          <w:tblCellSpacing w:w="15" w:type="dxa"/>
        </w:trPr>
        <w:tc>
          <w:tcPr>
            <w:tcW w:w="0" w:type="auto"/>
            <w:vAlign w:val="center"/>
            <w:hideMark/>
          </w:tcPr>
          <w:p w14:paraId="6F9113D0" w14:textId="77777777" w:rsidR="00CD012A" w:rsidRPr="00CE0AE2" w:rsidRDefault="00CD012A">
            <w:pPr>
              <w:jc w:val="center"/>
              <w:rPr>
                <w:rFonts w:ascii="Arial" w:hAnsi="Arial" w:cs="Arial"/>
                <w:b/>
                <w:bCs/>
                <w:color w:val="000000" w:themeColor="text1"/>
              </w:rPr>
            </w:pPr>
            <w:r w:rsidRPr="00CE0AE2">
              <w:rPr>
                <w:rFonts w:ascii="Arial" w:hAnsi="Arial" w:cs="Arial"/>
                <w:b/>
                <w:bCs/>
                <w:color w:val="000000" w:themeColor="text1"/>
              </w:rPr>
              <w:t>Product status</w:t>
            </w:r>
          </w:p>
        </w:tc>
        <w:tc>
          <w:tcPr>
            <w:tcW w:w="0" w:type="auto"/>
            <w:vAlign w:val="center"/>
            <w:hideMark/>
          </w:tcPr>
          <w:p w14:paraId="2BB202BB" w14:textId="77777777" w:rsidR="00CD012A" w:rsidRPr="00CE0AE2" w:rsidRDefault="00CD012A">
            <w:pPr>
              <w:jc w:val="center"/>
              <w:rPr>
                <w:rFonts w:ascii="Arial" w:hAnsi="Arial" w:cs="Arial"/>
                <w:b/>
                <w:bCs/>
                <w:color w:val="000000" w:themeColor="text1"/>
              </w:rPr>
            </w:pPr>
            <w:r w:rsidRPr="00CE0AE2">
              <w:rPr>
                <w:rFonts w:ascii="Arial" w:hAnsi="Arial" w:cs="Arial"/>
                <w:b/>
                <w:bCs/>
                <w:color w:val="000000" w:themeColor="text1"/>
              </w:rPr>
              <w:t>Meaning</w:t>
            </w:r>
          </w:p>
        </w:tc>
      </w:tr>
      <w:tr w:rsidR="00CD012A" w:rsidRPr="00CE0AE2" w14:paraId="059AC3F4" w14:textId="77777777">
        <w:trPr>
          <w:tblCellSpacing w:w="15" w:type="dxa"/>
        </w:trPr>
        <w:tc>
          <w:tcPr>
            <w:tcW w:w="0" w:type="auto"/>
            <w:vAlign w:val="center"/>
            <w:hideMark/>
          </w:tcPr>
          <w:p w14:paraId="41E25809"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Robust</w:t>
            </w:r>
          </w:p>
        </w:tc>
        <w:tc>
          <w:tcPr>
            <w:tcW w:w="0" w:type="auto"/>
            <w:vAlign w:val="center"/>
            <w:hideMark/>
          </w:tcPr>
          <w:p w14:paraId="235817EE" w14:textId="77777777" w:rsidR="00CD012A" w:rsidRPr="006F2719" w:rsidRDefault="00CD012A">
            <w:pPr>
              <w:rPr>
                <w:rFonts w:ascii="Arial" w:hAnsi="Arial" w:cs="Arial"/>
                <w:color w:val="000000" w:themeColor="text1"/>
                <w:sz w:val="20"/>
                <w:szCs w:val="20"/>
              </w:rPr>
            </w:pPr>
            <w:r w:rsidRPr="006F2719">
              <w:rPr>
                <w:rFonts w:ascii="Arial" w:hAnsi="Arial" w:cs="Arial"/>
                <w:color w:val="000000" w:themeColor="text1"/>
                <w:sz w:val="20"/>
                <w:szCs w:val="20"/>
              </w:rPr>
              <w:t>DNB-BRDF and gap-filled profiles support the same interpretation</w:t>
            </w:r>
          </w:p>
        </w:tc>
      </w:tr>
      <w:tr w:rsidR="00CD012A" w:rsidRPr="00CE0AE2" w14:paraId="65506618" w14:textId="77777777">
        <w:trPr>
          <w:tblCellSpacing w:w="15" w:type="dxa"/>
        </w:trPr>
        <w:tc>
          <w:tcPr>
            <w:tcW w:w="0" w:type="auto"/>
            <w:vAlign w:val="center"/>
            <w:hideMark/>
          </w:tcPr>
          <w:p w14:paraId="1D5C2DDA"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Gap-filled sensitive</w:t>
            </w:r>
          </w:p>
        </w:tc>
        <w:tc>
          <w:tcPr>
            <w:tcW w:w="0" w:type="auto"/>
            <w:vAlign w:val="center"/>
            <w:hideMark/>
          </w:tcPr>
          <w:p w14:paraId="7457BF3C" w14:textId="77777777" w:rsidR="00CD012A" w:rsidRPr="006F2719" w:rsidRDefault="00CD012A">
            <w:pPr>
              <w:rPr>
                <w:rFonts w:ascii="Arial" w:hAnsi="Arial" w:cs="Arial"/>
                <w:color w:val="000000" w:themeColor="text1"/>
                <w:sz w:val="20"/>
                <w:szCs w:val="20"/>
              </w:rPr>
            </w:pPr>
            <w:r w:rsidRPr="006F2719">
              <w:rPr>
                <w:rFonts w:ascii="Arial" w:hAnsi="Arial" w:cs="Arial"/>
                <w:color w:val="000000" w:themeColor="text1"/>
                <w:sz w:val="20"/>
                <w:szCs w:val="20"/>
              </w:rPr>
              <w:t>gap-filled profile changes impact magnitude or recovery timing</w:t>
            </w:r>
          </w:p>
        </w:tc>
      </w:tr>
      <w:tr w:rsidR="00CD012A" w:rsidRPr="00CE0AE2" w14:paraId="5E12D847" w14:textId="77777777">
        <w:trPr>
          <w:tblCellSpacing w:w="15" w:type="dxa"/>
        </w:trPr>
        <w:tc>
          <w:tcPr>
            <w:tcW w:w="0" w:type="auto"/>
            <w:vAlign w:val="center"/>
            <w:hideMark/>
          </w:tcPr>
          <w:p w14:paraId="586985F4"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Gap-filled dependent</w:t>
            </w:r>
          </w:p>
        </w:tc>
        <w:tc>
          <w:tcPr>
            <w:tcW w:w="0" w:type="auto"/>
            <w:vAlign w:val="center"/>
            <w:hideMark/>
          </w:tcPr>
          <w:p w14:paraId="6344B64F" w14:textId="77777777" w:rsidR="00CD012A" w:rsidRPr="006F2719" w:rsidRDefault="00CD012A">
            <w:pPr>
              <w:rPr>
                <w:rFonts w:ascii="Arial" w:hAnsi="Arial" w:cs="Arial"/>
                <w:color w:val="000000" w:themeColor="text1"/>
                <w:sz w:val="20"/>
                <w:szCs w:val="20"/>
              </w:rPr>
            </w:pPr>
            <w:r w:rsidRPr="006F2719">
              <w:rPr>
                <w:rFonts w:ascii="Arial" w:hAnsi="Arial" w:cs="Arial"/>
                <w:color w:val="000000" w:themeColor="text1"/>
                <w:sz w:val="20"/>
                <w:szCs w:val="20"/>
              </w:rPr>
              <w:t>recovery profile exists mainly because of filling</w:t>
            </w:r>
          </w:p>
        </w:tc>
      </w:tr>
      <w:tr w:rsidR="00CD012A" w:rsidRPr="00CE0AE2" w14:paraId="3E65CEA8" w14:textId="77777777">
        <w:trPr>
          <w:tblCellSpacing w:w="15" w:type="dxa"/>
        </w:trPr>
        <w:tc>
          <w:tcPr>
            <w:tcW w:w="0" w:type="auto"/>
            <w:vAlign w:val="center"/>
            <w:hideMark/>
          </w:tcPr>
          <w:p w14:paraId="140004FF" w14:textId="77777777" w:rsidR="00CD012A" w:rsidRPr="00CE0AE2" w:rsidRDefault="00CD012A">
            <w:pPr>
              <w:rPr>
                <w:rFonts w:ascii="Arial" w:hAnsi="Arial" w:cs="Arial"/>
                <w:color w:val="000000" w:themeColor="text1"/>
              </w:rPr>
            </w:pPr>
            <w:r w:rsidRPr="00CE0AE2">
              <w:rPr>
                <w:rStyle w:val="Strong"/>
                <w:rFonts w:ascii="Arial" w:hAnsi="Arial" w:cs="Arial"/>
                <w:color w:val="000000" w:themeColor="text1"/>
              </w:rPr>
              <w:t>Observed-only insufficient</w:t>
            </w:r>
          </w:p>
        </w:tc>
        <w:tc>
          <w:tcPr>
            <w:tcW w:w="0" w:type="auto"/>
            <w:vAlign w:val="center"/>
            <w:hideMark/>
          </w:tcPr>
          <w:p w14:paraId="5FCC5F03" w14:textId="77777777" w:rsidR="00CD012A" w:rsidRPr="006F2719" w:rsidRDefault="00CD012A">
            <w:pPr>
              <w:rPr>
                <w:rFonts w:ascii="Arial" w:hAnsi="Arial" w:cs="Arial"/>
                <w:color w:val="000000" w:themeColor="text1"/>
                <w:sz w:val="20"/>
                <w:szCs w:val="20"/>
              </w:rPr>
            </w:pPr>
            <w:r w:rsidRPr="006F2719">
              <w:rPr>
                <w:rFonts w:ascii="Arial" w:hAnsi="Arial" w:cs="Arial"/>
                <w:color w:val="000000" w:themeColor="text1"/>
                <w:sz w:val="20"/>
                <w:szCs w:val="20"/>
              </w:rPr>
              <w:t>DNB-BRDF cannot support recovery metrics</w:t>
            </w:r>
          </w:p>
        </w:tc>
      </w:tr>
    </w:tbl>
    <w:p w14:paraId="62B5D154"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This directly tests whether gap filling creates a smoother recovery story than the directly observed record.</w:t>
      </w:r>
    </w:p>
    <w:p w14:paraId="742C7C99" w14:textId="77777777" w:rsidR="00CD012A" w:rsidRPr="00CE0AE2" w:rsidRDefault="002E02BA" w:rsidP="00CD012A">
      <w:pPr>
        <w:rPr>
          <w:rFonts w:ascii="Arial" w:hAnsi="Arial" w:cs="Arial"/>
          <w:color w:val="000000" w:themeColor="text1"/>
        </w:rPr>
      </w:pPr>
      <w:r>
        <w:rPr>
          <w:noProof/>
        </w:rPr>
      </w:r>
      <w:r>
        <w:pict w14:anchorId="42F4229D">
          <v:rect id="Horizontal Line 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B4E7CD" w14:textId="77777777" w:rsidR="00CD012A" w:rsidRPr="006F2719" w:rsidRDefault="00CD012A" w:rsidP="00CD012A">
      <w:pPr>
        <w:pStyle w:val="Heading3"/>
        <w:rPr>
          <w:rFonts w:ascii="Arial" w:hAnsi="Arial" w:cs="Arial"/>
          <w:b/>
          <w:bCs/>
          <w:color w:val="0432FF"/>
          <w:sz w:val="24"/>
          <w:szCs w:val="24"/>
        </w:rPr>
      </w:pPr>
      <w:r w:rsidRPr="006F2719">
        <w:rPr>
          <w:rFonts w:ascii="Arial" w:hAnsi="Arial" w:cs="Arial"/>
          <w:b/>
          <w:bCs/>
          <w:color w:val="0432FF"/>
          <w:sz w:val="24"/>
          <w:szCs w:val="24"/>
        </w:rPr>
        <w:t>Step 5: Apply GHSL only after regional observability is diagnosed</w:t>
      </w:r>
    </w:p>
    <w:p w14:paraId="5C2D84CE"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Start with the Samar–Leyte regional signal, then move finer:</w:t>
      </w:r>
    </w:p>
    <w:p w14:paraId="594CAACD" w14:textId="77777777" w:rsidR="00CD012A" w:rsidRPr="00CE0AE2" w:rsidRDefault="00CD012A" w:rsidP="00CD012A">
      <w:pPr>
        <w:pStyle w:val="NormalWeb"/>
        <w:numPr>
          <w:ilvl w:val="0"/>
          <w:numId w:val="22"/>
        </w:numPr>
        <w:rPr>
          <w:rFonts w:ascii="Arial" w:hAnsi="Arial" w:cs="Arial"/>
          <w:color w:val="000000" w:themeColor="text1"/>
        </w:rPr>
      </w:pPr>
      <w:r w:rsidRPr="00CE0AE2">
        <w:rPr>
          <w:rFonts w:ascii="Arial" w:hAnsi="Arial" w:cs="Arial"/>
          <w:color w:val="000000" w:themeColor="text1"/>
        </w:rPr>
        <w:t>Samar–Leyte aggregate</w:t>
      </w:r>
    </w:p>
    <w:p w14:paraId="6D415DC0" w14:textId="77777777" w:rsidR="00CD012A" w:rsidRPr="00CE0AE2" w:rsidRDefault="00CD012A" w:rsidP="00CD012A">
      <w:pPr>
        <w:pStyle w:val="NormalWeb"/>
        <w:numPr>
          <w:ilvl w:val="0"/>
          <w:numId w:val="22"/>
        </w:numPr>
        <w:rPr>
          <w:rFonts w:ascii="Arial" w:hAnsi="Arial" w:cs="Arial"/>
          <w:color w:val="000000" w:themeColor="text1"/>
        </w:rPr>
      </w:pPr>
      <w:r w:rsidRPr="00CE0AE2">
        <w:rPr>
          <w:rFonts w:ascii="Arial" w:hAnsi="Arial" w:cs="Arial"/>
          <w:color w:val="000000" w:themeColor="text1"/>
        </w:rPr>
        <w:t>province-level units: Samar, Eastern Samar, Leyte, Southern Leyte, Biliran if included</w:t>
      </w:r>
    </w:p>
    <w:p w14:paraId="7FB68270" w14:textId="77777777" w:rsidR="00CD012A" w:rsidRPr="00CE0AE2" w:rsidRDefault="00CD012A" w:rsidP="00CD012A">
      <w:pPr>
        <w:pStyle w:val="NormalWeb"/>
        <w:numPr>
          <w:ilvl w:val="0"/>
          <w:numId w:val="22"/>
        </w:numPr>
        <w:rPr>
          <w:rFonts w:ascii="Arial" w:hAnsi="Arial" w:cs="Arial"/>
          <w:color w:val="000000" w:themeColor="text1"/>
        </w:rPr>
      </w:pPr>
      <w:r w:rsidRPr="00CE0AE2">
        <w:rPr>
          <w:rFonts w:ascii="Arial" w:hAnsi="Arial" w:cs="Arial"/>
          <w:color w:val="000000" w:themeColor="text1"/>
        </w:rPr>
        <w:t>GHSL thematic classes</w:t>
      </w:r>
    </w:p>
    <w:p w14:paraId="17B6EDEA" w14:textId="77777777" w:rsidR="00CD012A" w:rsidRPr="00CE0AE2" w:rsidRDefault="00CD012A" w:rsidP="00CD012A">
      <w:pPr>
        <w:pStyle w:val="NormalWeb"/>
        <w:numPr>
          <w:ilvl w:val="0"/>
          <w:numId w:val="22"/>
        </w:numPr>
        <w:rPr>
          <w:rFonts w:ascii="Arial" w:hAnsi="Arial" w:cs="Arial"/>
          <w:color w:val="000000" w:themeColor="text1"/>
        </w:rPr>
      </w:pPr>
      <w:r w:rsidRPr="00CE0AE2">
        <w:rPr>
          <w:rFonts w:ascii="Arial" w:hAnsi="Arial" w:cs="Arial"/>
          <w:color w:val="000000" w:themeColor="text1"/>
        </w:rPr>
        <w:t>1×1 / 3×3 / 5×5 local extents around key settlements</w:t>
      </w:r>
    </w:p>
    <w:p w14:paraId="5FD1DAC9" w14:textId="77777777" w:rsidR="00CD012A" w:rsidRPr="00CE0AE2" w:rsidRDefault="00CD012A" w:rsidP="00CD012A">
      <w:pPr>
        <w:pStyle w:val="NormalWeb"/>
        <w:numPr>
          <w:ilvl w:val="0"/>
          <w:numId w:val="22"/>
        </w:numPr>
        <w:rPr>
          <w:rFonts w:ascii="Arial" w:hAnsi="Arial" w:cs="Arial"/>
          <w:color w:val="000000" w:themeColor="text1"/>
        </w:rPr>
      </w:pPr>
      <w:r w:rsidRPr="00CE0AE2">
        <w:rPr>
          <w:rFonts w:ascii="Arial" w:hAnsi="Arial" w:cs="Arial"/>
          <w:color w:val="000000" w:themeColor="text1"/>
        </w:rPr>
        <w:t>POI-level tests only where observability is adequate</w:t>
      </w:r>
    </w:p>
    <w:p w14:paraId="10C33461"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GHSL should be used as both:</w:t>
      </w:r>
    </w:p>
    <w:p w14:paraId="2BBD1B2C" w14:textId="77777777" w:rsidR="00CD012A" w:rsidRPr="00CE0AE2" w:rsidRDefault="00CD012A" w:rsidP="00CD012A">
      <w:pPr>
        <w:pStyle w:val="NormalWeb"/>
        <w:numPr>
          <w:ilvl w:val="0"/>
          <w:numId w:val="23"/>
        </w:numPr>
        <w:rPr>
          <w:rFonts w:ascii="Arial" w:hAnsi="Arial" w:cs="Arial"/>
          <w:color w:val="000000" w:themeColor="text1"/>
        </w:rPr>
      </w:pPr>
      <w:r w:rsidRPr="00CE0AE2">
        <w:rPr>
          <w:rStyle w:val="Strong"/>
          <w:rFonts w:ascii="Arial" w:hAnsi="Arial" w:cs="Arial"/>
          <w:color w:val="000000" w:themeColor="text1"/>
        </w:rPr>
        <w:lastRenderedPageBreak/>
        <w:t>stratification:</w:t>
      </w:r>
      <w:r w:rsidRPr="00CE0AE2">
        <w:rPr>
          <w:rStyle w:val="apple-converted-space"/>
          <w:rFonts w:ascii="Arial" w:hAnsi="Arial" w:cs="Arial"/>
          <w:color w:val="000000" w:themeColor="text1"/>
        </w:rPr>
        <w:t> </w:t>
      </w:r>
      <w:r w:rsidRPr="00CE0AE2">
        <w:rPr>
          <w:rFonts w:ascii="Arial" w:hAnsi="Arial" w:cs="Arial"/>
          <w:color w:val="000000" w:themeColor="text1"/>
        </w:rPr>
        <w:t>compare urban core, dense settlement, peri-urban, rural settlement classes;</w:t>
      </w:r>
    </w:p>
    <w:p w14:paraId="10C827BA" w14:textId="77777777" w:rsidR="00CD012A" w:rsidRPr="00CE0AE2" w:rsidRDefault="00CD012A" w:rsidP="00CD012A">
      <w:pPr>
        <w:pStyle w:val="NormalWeb"/>
        <w:numPr>
          <w:ilvl w:val="0"/>
          <w:numId w:val="23"/>
        </w:numPr>
        <w:rPr>
          <w:rFonts w:ascii="Arial" w:hAnsi="Arial" w:cs="Arial"/>
          <w:color w:val="000000" w:themeColor="text1"/>
        </w:rPr>
      </w:pPr>
      <w:r w:rsidRPr="00CE0AE2">
        <w:rPr>
          <w:rStyle w:val="Strong"/>
          <w:rFonts w:ascii="Arial" w:hAnsi="Arial" w:cs="Arial"/>
          <w:color w:val="000000" w:themeColor="text1"/>
        </w:rPr>
        <w:t>admissibility support:</w:t>
      </w:r>
      <w:r w:rsidRPr="00CE0AE2">
        <w:rPr>
          <w:rStyle w:val="apple-converted-space"/>
          <w:rFonts w:ascii="Arial" w:hAnsi="Arial" w:cs="Arial"/>
          <w:color w:val="000000" w:themeColor="text1"/>
        </w:rPr>
        <w:t> </w:t>
      </w:r>
      <w:r w:rsidRPr="00CE0AE2">
        <w:rPr>
          <w:rFonts w:ascii="Arial" w:hAnsi="Arial" w:cs="Arial"/>
          <w:color w:val="000000" w:themeColor="text1"/>
        </w:rPr>
        <w:t>identify where NTL is stable enough to support functional recovery claims.</w:t>
      </w:r>
    </w:p>
    <w:p w14:paraId="69A8BBA5"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The goal is not only to compare settlement classes. The goal is to prevent rural, low-light, or non-settlement pixels from controlling recovery estimates.</w:t>
      </w:r>
    </w:p>
    <w:p w14:paraId="0933A82C" w14:textId="77777777" w:rsidR="00CD012A" w:rsidRPr="00CE0AE2" w:rsidRDefault="002E02BA" w:rsidP="00CD012A">
      <w:pPr>
        <w:rPr>
          <w:rFonts w:ascii="Arial" w:hAnsi="Arial" w:cs="Arial"/>
          <w:color w:val="000000" w:themeColor="text1"/>
        </w:rPr>
      </w:pPr>
      <w:r>
        <w:rPr>
          <w:noProof/>
        </w:rPr>
      </w:r>
      <w:r>
        <w:pict w14:anchorId="747A349C">
          <v:rect id="Horizontal Line 6"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C763CC" w14:textId="77777777" w:rsidR="00CD012A" w:rsidRPr="00FC2C44" w:rsidRDefault="00CD012A" w:rsidP="00CD012A">
      <w:pPr>
        <w:pStyle w:val="Heading3"/>
        <w:rPr>
          <w:rFonts w:ascii="Arial" w:hAnsi="Arial" w:cs="Arial"/>
          <w:b/>
          <w:bCs/>
          <w:color w:val="0432FF"/>
          <w:sz w:val="24"/>
          <w:szCs w:val="24"/>
        </w:rPr>
      </w:pPr>
      <w:r w:rsidRPr="00FC2C44">
        <w:rPr>
          <w:rFonts w:ascii="Arial" w:hAnsi="Arial" w:cs="Arial"/>
          <w:b/>
          <w:bCs/>
          <w:color w:val="0432FF"/>
          <w:sz w:val="24"/>
          <w:szCs w:val="24"/>
        </w:rPr>
        <w:t>Step 6: Add VZA and anisotropy diagnostics before fine-scale recovery claims</w:t>
      </w:r>
    </w:p>
    <w:p w14:paraId="054C4B5A"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VZA diagnostics should enter once GHSL or local extents are introduced.</w:t>
      </w:r>
    </w:p>
    <w:p w14:paraId="5AF35EAF"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For each admissible unit, compare recovery metrics using:</w:t>
      </w:r>
    </w:p>
    <w:p w14:paraId="4584591C" w14:textId="77777777" w:rsidR="00CD012A" w:rsidRPr="00CE0AE2" w:rsidRDefault="00CD012A" w:rsidP="00CD012A">
      <w:pPr>
        <w:pStyle w:val="NormalWeb"/>
        <w:numPr>
          <w:ilvl w:val="0"/>
          <w:numId w:val="24"/>
        </w:numPr>
        <w:rPr>
          <w:rFonts w:ascii="Arial" w:hAnsi="Arial" w:cs="Arial"/>
          <w:color w:val="000000" w:themeColor="text1"/>
        </w:rPr>
      </w:pPr>
      <w:r w:rsidRPr="00CE0AE2">
        <w:rPr>
          <w:rFonts w:ascii="Arial" w:hAnsi="Arial" w:cs="Arial"/>
          <w:color w:val="000000" w:themeColor="text1"/>
        </w:rPr>
        <w:t>all valid observations;</w:t>
      </w:r>
    </w:p>
    <w:p w14:paraId="015B527B" w14:textId="77777777" w:rsidR="00CD012A" w:rsidRPr="00CE0AE2" w:rsidRDefault="00CD012A" w:rsidP="00CD012A">
      <w:pPr>
        <w:pStyle w:val="NormalWeb"/>
        <w:numPr>
          <w:ilvl w:val="0"/>
          <w:numId w:val="24"/>
        </w:numPr>
        <w:rPr>
          <w:rFonts w:ascii="Arial" w:hAnsi="Arial" w:cs="Arial"/>
          <w:color w:val="000000" w:themeColor="text1"/>
        </w:rPr>
      </w:pPr>
      <w:r w:rsidRPr="00CE0AE2">
        <w:rPr>
          <w:rFonts w:ascii="Arial" w:hAnsi="Arial" w:cs="Arial"/>
          <w:color w:val="000000" w:themeColor="text1"/>
        </w:rPr>
        <w:t>|VZA| ≤ 40°;</w:t>
      </w:r>
    </w:p>
    <w:p w14:paraId="2777DADA" w14:textId="77777777" w:rsidR="00CD012A" w:rsidRPr="00CE0AE2" w:rsidRDefault="00CD012A" w:rsidP="00CD012A">
      <w:pPr>
        <w:pStyle w:val="NormalWeb"/>
        <w:numPr>
          <w:ilvl w:val="0"/>
          <w:numId w:val="24"/>
        </w:numPr>
        <w:rPr>
          <w:rFonts w:ascii="Arial" w:hAnsi="Arial" w:cs="Arial"/>
          <w:color w:val="000000" w:themeColor="text1"/>
        </w:rPr>
      </w:pPr>
      <w:r w:rsidRPr="00CE0AE2">
        <w:rPr>
          <w:rFonts w:ascii="Arial" w:hAnsi="Arial" w:cs="Arial"/>
          <w:color w:val="000000" w:themeColor="text1"/>
        </w:rPr>
        <w:t>|VZA| ≤ 30°.</w:t>
      </w:r>
    </w:p>
    <w:p w14:paraId="3C13B071"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Flag a unit as</w:t>
      </w:r>
      <w:r w:rsidRPr="00CE0AE2">
        <w:rPr>
          <w:rStyle w:val="apple-converted-space"/>
          <w:rFonts w:ascii="Arial" w:hAnsi="Arial" w:cs="Arial"/>
          <w:color w:val="000000" w:themeColor="text1"/>
        </w:rPr>
        <w:t> </w:t>
      </w:r>
      <w:r w:rsidRPr="00CE0AE2">
        <w:rPr>
          <w:rStyle w:val="Strong"/>
          <w:rFonts w:ascii="Arial" w:hAnsi="Arial" w:cs="Arial"/>
          <w:color w:val="000000" w:themeColor="text1"/>
        </w:rPr>
        <w:t>VZA-sensitive</w:t>
      </w:r>
      <w:r w:rsidRPr="00CE0AE2">
        <w:rPr>
          <w:rStyle w:val="apple-converted-space"/>
          <w:rFonts w:ascii="Arial" w:hAnsi="Arial" w:cs="Arial"/>
          <w:color w:val="000000" w:themeColor="text1"/>
        </w:rPr>
        <w:t> </w:t>
      </w:r>
      <w:r w:rsidRPr="00CE0AE2">
        <w:rPr>
          <w:rFonts w:ascii="Arial" w:hAnsi="Arial" w:cs="Arial"/>
          <w:color w:val="000000" w:themeColor="text1"/>
        </w:rPr>
        <w:t>if shock magnitude, cumulative deficit, T50/T80/T90, or recovery slope changes materially under stricter VZA filtering.</w:t>
      </w:r>
    </w:p>
    <w:p w14:paraId="5A64BCD2"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Interpretation:</w:t>
      </w:r>
    </w:p>
    <w:p w14:paraId="65ACBDBF" w14:textId="77777777" w:rsidR="00CD012A" w:rsidRPr="00CE0AE2" w:rsidRDefault="00CD012A" w:rsidP="00CD012A">
      <w:pPr>
        <w:pStyle w:val="NormalWeb"/>
        <w:numPr>
          <w:ilvl w:val="0"/>
          <w:numId w:val="25"/>
        </w:numPr>
        <w:rPr>
          <w:rFonts w:ascii="Arial" w:hAnsi="Arial" w:cs="Arial"/>
          <w:color w:val="000000" w:themeColor="text1"/>
        </w:rPr>
      </w:pPr>
      <w:r w:rsidRPr="00CE0AE2">
        <w:rPr>
          <w:rFonts w:ascii="Arial" w:hAnsi="Arial" w:cs="Arial"/>
          <w:color w:val="000000" w:themeColor="text1"/>
        </w:rPr>
        <w:t>stable across VZA filters → stronger recovery inference;</w:t>
      </w:r>
    </w:p>
    <w:p w14:paraId="2EF83316" w14:textId="77777777" w:rsidR="00CD012A" w:rsidRPr="00CE0AE2" w:rsidRDefault="00CD012A" w:rsidP="00CD012A">
      <w:pPr>
        <w:pStyle w:val="NormalWeb"/>
        <w:numPr>
          <w:ilvl w:val="0"/>
          <w:numId w:val="25"/>
        </w:numPr>
        <w:rPr>
          <w:rFonts w:ascii="Arial" w:hAnsi="Arial" w:cs="Arial"/>
          <w:color w:val="000000" w:themeColor="text1"/>
        </w:rPr>
      </w:pPr>
      <w:r w:rsidRPr="00CE0AE2">
        <w:rPr>
          <w:rFonts w:ascii="Arial" w:hAnsi="Arial" w:cs="Arial"/>
          <w:color w:val="000000" w:themeColor="text1"/>
        </w:rPr>
        <w:t>sensitive to VZA filters → geometry-sensitive recovery estimate;</w:t>
      </w:r>
    </w:p>
    <w:p w14:paraId="02CC9FA6" w14:textId="77777777" w:rsidR="00CD012A" w:rsidRPr="00CE0AE2" w:rsidRDefault="00CD012A" w:rsidP="00CD012A">
      <w:pPr>
        <w:pStyle w:val="NormalWeb"/>
        <w:numPr>
          <w:ilvl w:val="0"/>
          <w:numId w:val="25"/>
        </w:numPr>
        <w:rPr>
          <w:rFonts w:ascii="Arial" w:hAnsi="Arial" w:cs="Arial"/>
          <w:color w:val="000000" w:themeColor="text1"/>
        </w:rPr>
      </w:pPr>
      <w:r w:rsidRPr="00CE0AE2">
        <w:rPr>
          <w:rFonts w:ascii="Arial" w:hAnsi="Arial" w:cs="Arial"/>
          <w:color w:val="000000" w:themeColor="text1"/>
        </w:rPr>
        <w:t>too few observations after VZA filtering → geometry not testable.</w:t>
      </w:r>
    </w:p>
    <w:p w14:paraId="7F154FCF"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This keeps VZA as a reliability diagnostic rather than overcomplicating the first prototype.</w:t>
      </w:r>
    </w:p>
    <w:p w14:paraId="6FA3B45B" w14:textId="77777777" w:rsidR="00CD012A" w:rsidRPr="00CE0AE2" w:rsidRDefault="002E02BA" w:rsidP="00CD012A">
      <w:pPr>
        <w:rPr>
          <w:rFonts w:ascii="Arial" w:hAnsi="Arial" w:cs="Arial"/>
          <w:color w:val="000000" w:themeColor="text1"/>
        </w:rPr>
      </w:pPr>
      <w:r>
        <w:rPr>
          <w:noProof/>
        </w:rPr>
      </w:r>
      <w:r>
        <w:pict w14:anchorId="1988F0E7">
          <v:rect id="Horizontal Line 7"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4AF713" w14:textId="77777777" w:rsidR="00CD012A" w:rsidRPr="000C20D8" w:rsidRDefault="00CD012A" w:rsidP="00CD012A">
      <w:pPr>
        <w:pStyle w:val="Heading3"/>
        <w:rPr>
          <w:rFonts w:ascii="Arial" w:hAnsi="Arial" w:cs="Arial"/>
          <w:b/>
          <w:bCs/>
          <w:color w:val="0432FF"/>
          <w:sz w:val="24"/>
          <w:szCs w:val="24"/>
        </w:rPr>
      </w:pPr>
      <w:r w:rsidRPr="000C20D8">
        <w:rPr>
          <w:rFonts w:ascii="Arial" w:hAnsi="Arial" w:cs="Arial"/>
          <w:b/>
          <w:bCs/>
          <w:color w:val="0432FF"/>
          <w:sz w:val="24"/>
          <w:szCs w:val="24"/>
        </w:rPr>
        <w:t>Step 7: Estimate recovery metrics only for admissible units</w:t>
      </w:r>
    </w:p>
    <w:p w14:paraId="34F58306"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Recovery metrics should be estimated only after Steps 1–6.</w:t>
      </w:r>
    </w:p>
    <w:p w14:paraId="49B03F0B"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Metric suite:</w:t>
      </w:r>
    </w:p>
    <w:p w14:paraId="096F55E0" w14:textId="77777777" w:rsidR="00CD012A" w:rsidRPr="00CE0AE2" w:rsidRDefault="00CD012A" w:rsidP="00CD012A">
      <w:pPr>
        <w:pStyle w:val="NormalWeb"/>
        <w:numPr>
          <w:ilvl w:val="0"/>
          <w:numId w:val="26"/>
        </w:numPr>
        <w:rPr>
          <w:rFonts w:ascii="Arial" w:hAnsi="Arial" w:cs="Arial"/>
          <w:color w:val="000000" w:themeColor="text1"/>
        </w:rPr>
      </w:pPr>
      <w:r w:rsidRPr="00CE0AE2">
        <w:rPr>
          <w:rFonts w:ascii="Arial" w:hAnsi="Arial" w:cs="Arial"/>
          <w:color w:val="000000" w:themeColor="text1"/>
        </w:rPr>
        <w:t>shock magnitude;</w:t>
      </w:r>
    </w:p>
    <w:p w14:paraId="0F3E33CA" w14:textId="77777777" w:rsidR="00CD012A" w:rsidRPr="00CE0AE2" w:rsidRDefault="00CD012A" w:rsidP="00CD012A">
      <w:pPr>
        <w:pStyle w:val="NormalWeb"/>
        <w:numPr>
          <w:ilvl w:val="0"/>
          <w:numId w:val="26"/>
        </w:numPr>
        <w:rPr>
          <w:rFonts w:ascii="Arial" w:hAnsi="Arial" w:cs="Arial"/>
          <w:color w:val="000000" w:themeColor="text1"/>
        </w:rPr>
      </w:pPr>
      <w:r w:rsidRPr="00CE0AE2">
        <w:rPr>
          <w:rFonts w:ascii="Arial" w:hAnsi="Arial" w:cs="Arial"/>
          <w:color w:val="000000" w:themeColor="text1"/>
        </w:rPr>
        <w:t>cumulative radiance deficit;</w:t>
      </w:r>
    </w:p>
    <w:p w14:paraId="605595D0" w14:textId="77777777" w:rsidR="00CD012A" w:rsidRPr="00CE0AE2" w:rsidRDefault="00CD012A" w:rsidP="00CD012A">
      <w:pPr>
        <w:pStyle w:val="NormalWeb"/>
        <w:numPr>
          <w:ilvl w:val="0"/>
          <w:numId w:val="26"/>
        </w:numPr>
        <w:rPr>
          <w:rFonts w:ascii="Arial" w:hAnsi="Arial" w:cs="Arial"/>
          <w:color w:val="000000" w:themeColor="text1"/>
        </w:rPr>
      </w:pPr>
      <w:r w:rsidRPr="00CE0AE2">
        <w:rPr>
          <w:rFonts w:ascii="Arial" w:hAnsi="Arial" w:cs="Arial"/>
          <w:color w:val="000000" w:themeColor="text1"/>
        </w:rPr>
        <w:t>duration below baseline;</w:t>
      </w:r>
    </w:p>
    <w:p w14:paraId="4E6126B3" w14:textId="77777777" w:rsidR="00CD012A" w:rsidRPr="00CE0AE2" w:rsidRDefault="00CD012A" w:rsidP="00CD012A">
      <w:pPr>
        <w:pStyle w:val="NormalWeb"/>
        <w:numPr>
          <w:ilvl w:val="0"/>
          <w:numId w:val="26"/>
        </w:numPr>
        <w:rPr>
          <w:rFonts w:ascii="Arial" w:hAnsi="Arial" w:cs="Arial"/>
          <w:color w:val="000000" w:themeColor="text1"/>
        </w:rPr>
      </w:pPr>
      <w:r w:rsidRPr="00CE0AE2">
        <w:rPr>
          <w:rFonts w:ascii="Arial" w:hAnsi="Arial" w:cs="Arial"/>
          <w:color w:val="000000" w:themeColor="text1"/>
        </w:rPr>
        <w:t>T50 / T80 / T90;</w:t>
      </w:r>
    </w:p>
    <w:p w14:paraId="00168E94" w14:textId="77777777" w:rsidR="00CD012A" w:rsidRPr="00CE0AE2" w:rsidRDefault="00CD012A" w:rsidP="00CD012A">
      <w:pPr>
        <w:pStyle w:val="NormalWeb"/>
        <w:numPr>
          <w:ilvl w:val="0"/>
          <w:numId w:val="26"/>
        </w:numPr>
        <w:rPr>
          <w:rFonts w:ascii="Arial" w:hAnsi="Arial" w:cs="Arial"/>
          <w:color w:val="000000" w:themeColor="text1"/>
        </w:rPr>
      </w:pPr>
      <w:r w:rsidRPr="00CE0AE2">
        <w:rPr>
          <w:rFonts w:ascii="Arial" w:hAnsi="Arial" w:cs="Arial"/>
          <w:color w:val="000000" w:themeColor="text1"/>
        </w:rPr>
        <w:t>recovery slope;</w:t>
      </w:r>
    </w:p>
    <w:p w14:paraId="7C68664E" w14:textId="77777777" w:rsidR="00CD012A" w:rsidRPr="00CE0AE2" w:rsidRDefault="00CD012A" w:rsidP="00CD012A">
      <w:pPr>
        <w:pStyle w:val="NormalWeb"/>
        <w:numPr>
          <w:ilvl w:val="0"/>
          <w:numId w:val="26"/>
        </w:numPr>
        <w:rPr>
          <w:rFonts w:ascii="Arial" w:hAnsi="Arial" w:cs="Arial"/>
          <w:color w:val="000000" w:themeColor="text1"/>
        </w:rPr>
      </w:pPr>
      <w:r w:rsidRPr="00CE0AE2">
        <w:rPr>
          <w:rFonts w:ascii="Arial" w:hAnsi="Arial" w:cs="Arial"/>
          <w:color w:val="000000" w:themeColor="text1"/>
        </w:rPr>
        <w:t>post-event stability;</w:t>
      </w:r>
    </w:p>
    <w:p w14:paraId="4C29B46D" w14:textId="77777777" w:rsidR="00CD012A" w:rsidRPr="00CE0AE2" w:rsidRDefault="00CD012A" w:rsidP="00CD012A">
      <w:pPr>
        <w:pStyle w:val="NormalWeb"/>
        <w:numPr>
          <w:ilvl w:val="0"/>
          <w:numId w:val="26"/>
        </w:numPr>
        <w:rPr>
          <w:rFonts w:ascii="Arial" w:hAnsi="Arial" w:cs="Arial"/>
          <w:color w:val="000000" w:themeColor="text1"/>
        </w:rPr>
      </w:pPr>
      <w:r w:rsidRPr="00CE0AE2">
        <w:rPr>
          <w:rFonts w:ascii="Arial" w:hAnsi="Arial" w:cs="Arial"/>
          <w:color w:val="000000" w:themeColor="text1"/>
        </w:rPr>
        <w:t>recovery envelope where exact timing is not defensible.</w:t>
      </w:r>
    </w:p>
    <w:p w14:paraId="76FB84E6"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lastRenderedPageBreak/>
        <w:t>Each metric must be reported with:</w:t>
      </w:r>
    </w:p>
    <w:p w14:paraId="2A265A73" w14:textId="77777777" w:rsidR="00CD012A" w:rsidRPr="00CE0AE2" w:rsidRDefault="00CD012A" w:rsidP="00CD012A">
      <w:pPr>
        <w:pStyle w:val="NormalWeb"/>
        <w:numPr>
          <w:ilvl w:val="0"/>
          <w:numId w:val="27"/>
        </w:numPr>
        <w:rPr>
          <w:rFonts w:ascii="Arial" w:hAnsi="Arial" w:cs="Arial"/>
          <w:color w:val="000000" w:themeColor="text1"/>
        </w:rPr>
      </w:pPr>
      <w:r w:rsidRPr="00CE0AE2">
        <w:rPr>
          <w:rFonts w:ascii="Arial" w:hAnsi="Arial" w:cs="Arial"/>
          <w:color w:val="000000" w:themeColor="text1"/>
        </w:rPr>
        <w:t>observation status;</w:t>
      </w:r>
    </w:p>
    <w:p w14:paraId="1C68C106" w14:textId="77777777" w:rsidR="00CD012A" w:rsidRPr="00CE0AE2" w:rsidRDefault="00CD012A" w:rsidP="00CD012A">
      <w:pPr>
        <w:pStyle w:val="NormalWeb"/>
        <w:numPr>
          <w:ilvl w:val="0"/>
          <w:numId w:val="27"/>
        </w:numPr>
        <w:rPr>
          <w:rFonts w:ascii="Arial" w:hAnsi="Arial" w:cs="Arial"/>
          <w:color w:val="000000" w:themeColor="text1"/>
        </w:rPr>
      </w:pPr>
      <w:r w:rsidRPr="00CE0AE2">
        <w:rPr>
          <w:rFonts w:ascii="Arial" w:hAnsi="Arial" w:cs="Arial"/>
          <w:color w:val="000000" w:themeColor="text1"/>
        </w:rPr>
        <w:t>product status;</w:t>
      </w:r>
    </w:p>
    <w:p w14:paraId="79C1D573" w14:textId="77777777" w:rsidR="00CD012A" w:rsidRPr="00CE0AE2" w:rsidRDefault="00CD012A" w:rsidP="00CD012A">
      <w:pPr>
        <w:pStyle w:val="NormalWeb"/>
        <w:numPr>
          <w:ilvl w:val="0"/>
          <w:numId w:val="27"/>
        </w:numPr>
        <w:rPr>
          <w:rFonts w:ascii="Arial" w:hAnsi="Arial" w:cs="Arial"/>
          <w:color w:val="000000" w:themeColor="text1"/>
        </w:rPr>
      </w:pPr>
      <w:r w:rsidRPr="00CE0AE2">
        <w:rPr>
          <w:rFonts w:ascii="Arial" w:hAnsi="Arial" w:cs="Arial"/>
          <w:color w:val="000000" w:themeColor="text1"/>
        </w:rPr>
        <w:t>geometry status;</w:t>
      </w:r>
    </w:p>
    <w:p w14:paraId="1C26878D" w14:textId="77777777" w:rsidR="00CD012A" w:rsidRPr="00CE0AE2" w:rsidRDefault="00CD012A" w:rsidP="00CD012A">
      <w:pPr>
        <w:pStyle w:val="NormalWeb"/>
        <w:numPr>
          <w:ilvl w:val="0"/>
          <w:numId w:val="27"/>
        </w:numPr>
        <w:rPr>
          <w:rFonts w:ascii="Arial" w:hAnsi="Arial" w:cs="Arial"/>
          <w:color w:val="000000" w:themeColor="text1"/>
        </w:rPr>
      </w:pPr>
      <w:r w:rsidRPr="00CE0AE2">
        <w:rPr>
          <w:rFonts w:ascii="Arial" w:hAnsi="Arial" w:cs="Arial"/>
          <w:color w:val="000000" w:themeColor="text1"/>
        </w:rPr>
        <w:t>baseline status;</w:t>
      </w:r>
    </w:p>
    <w:p w14:paraId="0D2AFFEC" w14:textId="77777777" w:rsidR="00CD012A" w:rsidRPr="00CE0AE2" w:rsidRDefault="00CD012A" w:rsidP="00CD012A">
      <w:pPr>
        <w:pStyle w:val="NormalWeb"/>
        <w:numPr>
          <w:ilvl w:val="0"/>
          <w:numId w:val="27"/>
        </w:numPr>
        <w:rPr>
          <w:rFonts w:ascii="Arial" w:hAnsi="Arial" w:cs="Arial"/>
          <w:color w:val="000000" w:themeColor="text1"/>
        </w:rPr>
      </w:pPr>
      <w:r w:rsidRPr="00CE0AE2">
        <w:rPr>
          <w:rFonts w:ascii="Arial" w:hAnsi="Arial" w:cs="Arial"/>
          <w:color w:val="000000" w:themeColor="text1"/>
        </w:rPr>
        <w:t>validation status.</w:t>
      </w:r>
    </w:p>
    <w:p w14:paraId="45A8B017"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No metric should be reported without its observation support.</w:t>
      </w:r>
    </w:p>
    <w:p w14:paraId="73783466" w14:textId="77777777" w:rsidR="00CD012A" w:rsidRPr="00CE0AE2" w:rsidRDefault="002E02BA" w:rsidP="00CD012A">
      <w:pPr>
        <w:rPr>
          <w:rFonts w:ascii="Arial" w:hAnsi="Arial" w:cs="Arial"/>
          <w:color w:val="000000" w:themeColor="text1"/>
        </w:rPr>
      </w:pPr>
      <w:r>
        <w:rPr>
          <w:noProof/>
        </w:rPr>
      </w:r>
      <w:r>
        <w:pict w14:anchorId="667371D8">
          <v:rect id="Horizontal Line 8"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7F2949" w14:textId="77777777" w:rsidR="00CD012A" w:rsidRPr="000C20D8" w:rsidRDefault="00CD012A" w:rsidP="00CD012A">
      <w:pPr>
        <w:pStyle w:val="Heading3"/>
        <w:rPr>
          <w:rFonts w:ascii="Arial" w:hAnsi="Arial" w:cs="Arial"/>
          <w:b/>
          <w:bCs/>
          <w:color w:val="0432FF"/>
          <w:sz w:val="24"/>
          <w:szCs w:val="24"/>
        </w:rPr>
      </w:pPr>
      <w:r w:rsidRPr="000C20D8">
        <w:rPr>
          <w:rFonts w:ascii="Arial" w:hAnsi="Arial" w:cs="Arial"/>
          <w:b/>
          <w:bCs/>
          <w:color w:val="0432FF"/>
          <w:sz w:val="24"/>
          <w:szCs w:val="24"/>
        </w:rPr>
        <w:t>Step 8: Validate functional recovery interpretation with NGCP</w:t>
      </w:r>
    </w:p>
    <w:p w14:paraId="5A5FB580"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NTL should be interpreted as</w:t>
      </w:r>
      <w:r w:rsidRPr="00CE0AE2">
        <w:rPr>
          <w:rStyle w:val="apple-converted-space"/>
          <w:rFonts w:ascii="Arial" w:hAnsi="Arial" w:cs="Arial"/>
          <w:color w:val="000000" w:themeColor="text1"/>
        </w:rPr>
        <w:t> </w:t>
      </w:r>
      <w:r w:rsidRPr="00CE0AE2">
        <w:rPr>
          <w:rStyle w:val="Strong"/>
          <w:rFonts w:ascii="Arial" w:hAnsi="Arial" w:cs="Arial"/>
          <w:color w:val="000000" w:themeColor="text1"/>
        </w:rPr>
        <w:t>electricity-mediated nighttime activity</w:t>
      </w:r>
      <w:r w:rsidRPr="00CE0AE2">
        <w:rPr>
          <w:rFonts w:ascii="Arial" w:hAnsi="Arial" w:cs="Arial"/>
          <w:color w:val="000000" w:themeColor="text1"/>
        </w:rPr>
        <w:t>, not as total recovery.</w:t>
      </w:r>
    </w:p>
    <w:p w14:paraId="24C2E37E"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Validation should compare reliability-qualified NTL with NGCP load at compatible spatial and temporal scales:</w:t>
      </w:r>
    </w:p>
    <w:p w14:paraId="639E1324" w14:textId="77777777" w:rsidR="00CD012A" w:rsidRPr="00CE0AE2" w:rsidRDefault="00CD012A" w:rsidP="00CD012A">
      <w:pPr>
        <w:pStyle w:val="NormalWeb"/>
        <w:numPr>
          <w:ilvl w:val="0"/>
          <w:numId w:val="28"/>
        </w:numPr>
        <w:rPr>
          <w:rFonts w:ascii="Arial" w:hAnsi="Arial" w:cs="Arial"/>
          <w:color w:val="000000" w:themeColor="text1"/>
        </w:rPr>
      </w:pPr>
      <w:r w:rsidRPr="00CE0AE2">
        <w:rPr>
          <w:rFonts w:ascii="Arial" w:hAnsi="Arial" w:cs="Arial"/>
          <w:color w:val="000000" w:themeColor="text1"/>
        </w:rPr>
        <w:t>daily anomaly comparison where valid;</w:t>
      </w:r>
    </w:p>
    <w:p w14:paraId="42513906" w14:textId="77777777" w:rsidR="00CD012A" w:rsidRPr="00CE0AE2" w:rsidRDefault="00CD012A" w:rsidP="00CD012A">
      <w:pPr>
        <w:pStyle w:val="NormalWeb"/>
        <w:numPr>
          <w:ilvl w:val="0"/>
          <w:numId w:val="28"/>
        </w:numPr>
        <w:rPr>
          <w:rFonts w:ascii="Arial" w:hAnsi="Arial" w:cs="Arial"/>
          <w:color w:val="000000" w:themeColor="text1"/>
        </w:rPr>
      </w:pPr>
      <w:r w:rsidRPr="00CE0AE2">
        <w:rPr>
          <w:rFonts w:ascii="Arial" w:hAnsi="Arial" w:cs="Arial"/>
          <w:color w:val="000000" w:themeColor="text1"/>
        </w:rPr>
        <w:t>weekly aggregation where daily NTL is sparse;</w:t>
      </w:r>
    </w:p>
    <w:p w14:paraId="41057911" w14:textId="77777777" w:rsidR="00CD012A" w:rsidRPr="00CE0AE2" w:rsidRDefault="00CD012A" w:rsidP="00CD012A">
      <w:pPr>
        <w:pStyle w:val="NormalWeb"/>
        <w:numPr>
          <w:ilvl w:val="0"/>
          <w:numId w:val="28"/>
        </w:numPr>
        <w:rPr>
          <w:rFonts w:ascii="Arial" w:hAnsi="Arial" w:cs="Arial"/>
          <w:color w:val="000000" w:themeColor="text1"/>
        </w:rPr>
      </w:pPr>
      <w:r w:rsidRPr="00CE0AE2">
        <w:rPr>
          <w:rFonts w:ascii="Arial" w:hAnsi="Arial" w:cs="Arial"/>
          <w:color w:val="000000" w:themeColor="text1"/>
        </w:rPr>
        <w:t>Pearson and Spearman correlation;</w:t>
      </w:r>
    </w:p>
    <w:p w14:paraId="0A024B82" w14:textId="77777777" w:rsidR="00CD012A" w:rsidRPr="00CE0AE2" w:rsidRDefault="00CD012A" w:rsidP="00CD012A">
      <w:pPr>
        <w:pStyle w:val="NormalWeb"/>
        <w:numPr>
          <w:ilvl w:val="0"/>
          <w:numId w:val="28"/>
        </w:numPr>
        <w:rPr>
          <w:rFonts w:ascii="Arial" w:hAnsi="Arial" w:cs="Arial"/>
          <w:color w:val="000000" w:themeColor="text1"/>
        </w:rPr>
      </w:pPr>
      <w:r w:rsidRPr="00CE0AE2">
        <w:rPr>
          <w:rFonts w:ascii="Arial" w:hAnsi="Arial" w:cs="Arial"/>
          <w:color w:val="000000" w:themeColor="text1"/>
        </w:rPr>
        <w:t>cross-correlation for lead/lag;</w:t>
      </w:r>
    </w:p>
    <w:p w14:paraId="151774E6" w14:textId="77777777" w:rsidR="00CD012A" w:rsidRPr="00CE0AE2" w:rsidRDefault="00CD012A" w:rsidP="00CD012A">
      <w:pPr>
        <w:pStyle w:val="NormalWeb"/>
        <w:numPr>
          <w:ilvl w:val="0"/>
          <w:numId w:val="28"/>
        </w:numPr>
        <w:rPr>
          <w:rFonts w:ascii="Arial" w:hAnsi="Arial" w:cs="Arial"/>
          <w:color w:val="000000" w:themeColor="text1"/>
        </w:rPr>
      </w:pPr>
      <w:r w:rsidRPr="00CE0AE2">
        <w:rPr>
          <w:rFonts w:ascii="Arial" w:hAnsi="Arial" w:cs="Arial"/>
          <w:color w:val="000000" w:themeColor="text1"/>
        </w:rPr>
        <w:t>event-onset alignment;</w:t>
      </w:r>
    </w:p>
    <w:p w14:paraId="3FEC57A6" w14:textId="77777777" w:rsidR="00CD012A" w:rsidRPr="00CE0AE2" w:rsidRDefault="00CD012A" w:rsidP="00CD012A">
      <w:pPr>
        <w:pStyle w:val="NormalWeb"/>
        <w:numPr>
          <w:ilvl w:val="0"/>
          <w:numId w:val="28"/>
        </w:numPr>
        <w:rPr>
          <w:rFonts w:ascii="Arial" w:hAnsi="Arial" w:cs="Arial"/>
          <w:color w:val="000000" w:themeColor="text1"/>
        </w:rPr>
      </w:pPr>
      <w:r w:rsidRPr="00CE0AE2">
        <w:rPr>
          <w:rFonts w:ascii="Arial" w:hAnsi="Arial" w:cs="Arial"/>
          <w:color w:val="000000" w:themeColor="text1"/>
        </w:rPr>
        <w:t>recovery milestone alignment;</w:t>
      </w:r>
    </w:p>
    <w:p w14:paraId="68EB48B4" w14:textId="77777777" w:rsidR="00CD012A" w:rsidRPr="00CE0AE2" w:rsidRDefault="00CD012A" w:rsidP="00CD012A">
      <w:pPr>
        <w:pStyle w:val="NormalWeb"/>
        <w:numPr>
          <w:ilvl w:val="0"/>
          <w:numId w:val="28"/>
        </w:numPr>
        <w:rPr>
          <w:rFonts w:ascii="Arial" w:hAnsi="Arial" w:cs="Arial"/>
          <w:color w:val="000000" w:themeColor="text1"/>
        </w:rPr>
      </w:pPr>
      <w:r w:rsidRPr="00CE0AE2">
        <w:rPr>
          <w:rFonts w:ascii="Arial" w:hAnsi="Arial" w:cs="Arial"/>
          <w:color w:val="000000" w:themeColor="text1"/>
        </w:rPr>
        <w:t>divergence analysis by GHSL class and product type.</w:t>
      </w:r>
    </w:p>
    <w:p w14:paraId="25511395"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Divergence should not automatically be treated as failure. It may indicate differences between grid load, street lighting, household restoration, generators, commercial recovery, public infrastructure, or observability.</w:t>
      </w:r>
    </w:p>
    <w:p w14:paraId="32690E13" w14:textId="77777777" w:rsidR="00CD012A" w:rsidRPr="00CE0AE2" w:rsidRDefault="002E02BA" w:rsidP="00CD012A">
      <w:pPr>
        <w:rPr>
          <w:rFonts w:ascii="Arial" w:hAnsi="Arial" w:cs="Arial"/>
          <w:color w:val="000000" w:themeColor="text1"/>
        </w:rPr>
      </w:pPr>
      <w:r>
        <w:rPr>
          <w:noProof/>
        </w:rPr>
      </w:r>
      <w:r>
        <w:pict w14:anchorId="442368F7">
          <v:rect id="Horizontal Line 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4DCBAB" w14:textId="77777777" w:rsidR="00CD012A" w:rsidRPr="00CE0AE2" w:rsidRDefault="00CD012A" w:rsidP="00CD012A">
      <w:pPr>
        <w:pStyle w:val="Heading3"/>
        <w:rPr>
          <w:rFonts w:ascii="Arial" w:hAnsi="Arial" w:cs="Arial"/>
          <w:color w:val="000000" w:themeColor="text1"/>
        </w:rPr>
      </w:pPr>
      <w:r w:rsidRPr="00CE0AE2">
        <w:rPr>
          <w:rFonts w:ascii="Arial" w:hAnsi="Arial" w:cs="Arial"/>
          <w:color w:val="000000" w:themeColor="text1"/>
        </w:rPr>
        <w:t>Step 9: Extend from Haiyan to other Samar–Leyte storms</w:t>
      </w:r>
    </w:p>
    <w:p w14:paraId="5A8B0DA6"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After the Haiyan prototype, apply the same observability-first experiment to other 2012–2024 storms affecting Samar–Leyte.</w:t>
      </w:r>
    </w:p>
    <w:p w14:paraId="239791CB"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Candidate events should be finalized through IBTrACS / PAGASA / NDRRMC screening using:</w:t>
      </w:r>
    </w:p>
    <w:p w14:paraId="08C0E63A" w14:textId="77777777" w:rsidR="00CD012A" w:rsidRPr="00CE0AE2" w:rsidRDefault="00CD012A" w:rsidP="00CD012A">
      <w:pPr>
        <w:pStyle w:val="NormalWeb"/>
        <w:numPr>
          <w:ilvl w:val="0"/>
          <w:numId w:val="29"/>
        </w:numPr>
        <w:rPr>
          <w:rFonts w:ascii="Arial" w:hAnsi="Arial" w:cs="Arial"/>
          <w:color w:val="000000" w:themeColor="text1"/>
        </w:rPr>
      </w:pPr>
      <w:r w:rsidRPr="00CE0AE2">
        <w:rPr>
          <w:rFonts w:ascii="Arial" w:hAnsi="Arial" w:cs="Arial"/>
          <w:color w:val="000000" w:themeColor="text1"/>
        </w:rPr>
        <w:t>storm-track intersection or distance buffer around Samar–Leyte;</w:t>
      </w:r>
    </w:p>
    <w:p w14:paraId="6B4CEB80" w14:textId="77777777" w:rsidR="00CD012A" w:rsidRPr="00CE0AE2" w:rsidRDefault="00CD012A" w:rsidP="00CD012A">
      <w:pPr>
        <w:pStyle w:val="NormalWeb"/>
        <w:numPr>
          <w:ilvl w:val="0"/>
          <w:numId w:val="29"/>
        </w:numPr>
        <w:rPr>
          <w:rFonts w:ascii="Arial" w:hAnsi="Arial" w:cs="Arial"/>
          <w:color w:val="000000" w:themeColor="text1"/>
        </w:rPr>
      </w:pPr>
      <w:r w:rsidRPr="00CE0AE2">
        <w:rPr>
          <w:rFonts w:ascii="Arial" w:hAnsi="Arial" w:cs="Arial"/>
          <w:color w:val="000000" w:themeColor="text1"/>
        </w:rPr>
        <w:t>reported impacts in Region VIII;</w:t>
      </w:r>
    </w:p>
    <w:p w14:paraId="00F382B1" w14:textId="77777777" w:rsidR="00CD012A" w:rsidRPr="00CE0AE2" w:rsidRDefault="00CD012A" w:rsidP="00CD012A">
      <w:pPr>
        <w:pStyle w:val="NormalWeb"/>
        <w:numPr>
          <w:ilvl w:val="0"/>
          <w:numId w:val="29"/>
        </w:numPr>
        <w:rPr>
          <w:rFonts w:ascii="Arial" w:hAnsi="Arial" w:cs="Arial"/>
          <w:color w:val="000000" w:themeColor="text1"/>
        </w:rPr>
      </w:pPr>
      <w:r w:rsidRPr="00CE0AE2">
        <w:rPr>
          <w:rFonts w:ascii="Arial" w:hAnsi="Arial" w:cs="Arial"/>
          <w:color w:val="000000" w:themeColor="text1"/>
        </w:rPr>
        <w:t>wind/rainfall severity;</w:t>
      </w:r>
    </w:p>
    <w:p w14:paraId="18E97713" w14:textId="77777777" w:rsidR="00CD012A" w:rsidRPr="00CE0AE2" w:rsidRDefault="00CD012A" w:rsidP="00CD012A">
      <w:pPr>
        <w:pStyle w:val="NormalWeb"/>
        <w:numPr>
          <w:ilvl w:val="0"/>
          <w:numId w:val="29"/>
        </w:numPr>
        <w:rPr>
          <w:rFonts w:ascii="Arial" w:hAnsi="Arial" w:cs="Arial"/>
          <w:color w:val="000000" w:themeColor="text1"/>
        </w:rPr>
      </w:pPr>
      <w:r w:rsidRPr="00CE0AE2">
        <w:rPr>
          <w:rFonts w:ascii="Arial" w:hAnsi="Arial" w:cs="Arial"/>
          <w:color w:val="000000" w:themeColor="text1"/>
        </w:rPr>
        <w:t>available NGCP or grid-response signal;</w:t>
      </w:r>
    </w:p>
    <w:p w14:paraId="4F89E546" w14:textId="77777777" w:rsidR="00CD012A" w:rsidRPr="00CE0AE2" w:rsidRDefault="00CD012A" w:rsidP="00CD012A">
      <w:pPr>
        <w:pStyle w:val="NormalWeb"/>
        <w:numPr>
          <w:ilvl w:val="0"/>
          <w:numId w:val="29"/>
        </w:numPr>
        <w:rPr>
          <w:rFonts w:ascii="Arial" w:hAnsi="Arial" w:cs="Arial"/>
          <w:color w:val="000000" w:themeColor="text1"/>
        </w:rPr>
      </w:pPr>
      <w:r w:rsidRPr="00CE0AE2">
        <w:rPr>
          <w:rFonts w:ascii="Arial" w:hAnsi="Arial" w:cs="Arial"/>
          <w:color w:val="000000" w:themeColor="text1"/>
        </w:rPr>
        <w:t>non-overlapping event windows where possible.</w:t>
      </w:r>
    </w:p>
    <w:p w14:paraId="782D9DCF"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lastRenderedPageBreak/>
        <w:t>Initial candidate list for screening:</w:t>
      </w:r>
    </w:p>
    <w:p w14:paraId="090BFB99" w14:textId="77777777" w:rsidR="00CD012A" w:rsidRPr="00CE0AE2" w:rsidRDefault="00CD012A" w:rsidP="00CD012A">
      <w:pPr>
        <w:pStyle w:val="NormalWeb"/>
        <w:numPr>
          <w:ilvl w:val="0"/>
          <w:numId w:val="30"/>
        </w:numPr>
        <w:rPr>
          <w:rFonts w:ascii="Arial" w:hAnsi="Arial" w:cs="Arial"/>
          <w:color w:val="000000" w:themeColor="text1"/>
        </w:rPr>
      </w:pPr>
      <w:r w:rsidRPr="00CE0AE2">
        <w:rPr>
          <w:rFonts w:ascii="Arial" w:hAnsi="Arial" w:cs="Arial"/>
          <w:color w:val="000000" w:themeColor="text1"/>
        </w:rPr>
        <w:t>Haiyan/Yolanda — 2013-11-08;</w:t>
      </w:r>
    </w:p>
    <w:p w14:paraId="2BBFD78D" w14:textId="77777777" w:rsidR="00CD012A" w:rsidRPr="00CE0AE2" w:rsidRDefault="00CD012A" w:rsidP="00CD012A">
      <w:pPr>
        <w:pStyle w:val="NormalWeb"/>
        <w:numPr>
          <w:ilvl w:val="0"/>
          <w:numId w:val="30"/>
        </w:numPr>
        <w:rPr>
          <w:rFonts w:ascii="Arial" w:hAnsi="Arial" w:cs="Arial"/>
          <w:color w:val="000000" w:themeColor="text1"/>
        </w:rPr>
      </w:pPr>
      <w:r w:rsidRPr="00CE0AE2">
        <w:rPr>
          <w:rFonts w:ascii="Arial" w:hAnsi="Arial" w:cs="Arial"/>
          <w:color w:val="000000" w:themeColor="text1"/>
        </w:rPr>
        <w:t>Hagupit/Ruby — 2014-12;</w:t>
      </w:r>
    </w:p>
    <w:p w14:paraId="79BD142F" w14:textId="77777777" w:rsidR="00CD012A" w:rsidRPr="00CE0AE2" w:rsidRDefault="00CD012A" w:rsidP="00CD012A">
      <w:pPr>
        <w:pStyle w:val="NormalWeb"/>
        <w:numPr>
          <w:ilvl w:val="0"/>
          <w:numId w:val="30"/>
        </w:numPr>
        <w:rPr>
          <w:rFonts w:ascii="Arial" w:hAnsi="Arial" w:cs="Arial"/>
          <w:color w:val="000000" w:themeColor="text1"/>
        </w:rPr>
      </w:pPr>
      <w:r w:rsidRPr="00CE0AE2">
        <w:rPr>
          <w:rFonts w:ascii="Arial" w:hAnsi="Arial" w:cs="Arial"/>
          <w:color w:val="000000" w:themeColor="text1"/>
        </w:rPr>
        <w:t>Melor/Nona — 2015-12;</w:t>
      </w:r>
    </w:p>
    <w:p w14:paraId="65BC58B7" w14:textId="77777777" w:rsidR="00CD012A" w:rsidRPr="00CE0AE2" w:rsidRDefault="00CD012A" w:rsidP="00CD012A">
      <w:pPr>
        <w:pStyle w:val="NormalWeb"/>
        <w:numPr>
          <w:ilvl w:val="0"/>
          <w:numId w:val="30"/>
        </w:numPr>
        <w:rPr>
          <w:rFonts w:ascii="Arial" w:hAnsi="Arial" w:cs="Arial"/>
          <w:color w:val="000000" w:themeColor="text1"/>
        </w:rPr>
      </w:pPr>
      <w:r w:rsidRPr="00CE0AE2">
        <w:rPr>
          <w:rFonts w:ascii="Arial" w:hAnsi="Arial" w:cs="Arial"/>
          <w:color w:val="000000" w:themeColor="text1"/>
        </w:rPr>
        <w:t>Phanfone/Ursula — 2019-12;</w:t>
      </w:r>
    </w:p>
    <w:p w14:paraId="05A45840" w14:textId="77777777" w:rsidR="00CD012A" w:rsidRPr="00CE0AE2" w:rsidRDefault="00CD012A" w:rsidP="00CD012A">
      <w:pPr>
        <w:pStyle w:val="NormalWeb"/>
        <w:numPr>
          <w:ilvl w:val="0"/>
          <w:numId w:val="30"/>
        </w:numPr>
        <w:rPr>
          <w:rFonts w:ascii="Arial" w:hAnsi="Arial" w:cs="Arial"/>
          <w:color w:val="000000" w:themeColor="text1"/>
        </w:rPr>
      </w:pPr>
      <w:r w:rsidRPr="00CE0AE2">
        <w:rPr>
          <w:rFonts w:ascii="Arial" w:hAnsi="Arial" w:cs="Arial"/>
          <w:color w:val="000000" w:themeColor="text1"/>
        </w:rPr>
        <w:t>Goni/Rolly — 2020-11;</w:t>
      </w:r>
    </w:p>
    <w:p w14:paraId="0CDA34B8" w14:textId="77777777" w:rsidR="00CD012A" w:rsidRPr="00CE0AE2" w:rsidRDefault="00CD012A" w:rsidP="00CD012A">
      <w:pPr>
        <w:pStyle w:val="NormalWeb"/>
        <w:numPr>
          <w:ilvl w:val="0"/>
          <w:numId w:val="30"/>
        </w:numPr>
        <w:rPr>
          <w:rFonts w:ascii="Arial" w:hAnsi="Arial" w:cs="Arial"/>
          <w:color w:val="000000" w:themeColor="text1"/>
        </w:rPr>
      </w:pPr>
      <w:r w:rsidRPr="00CE0AE2">
        <w:rPr>
          <w:rFonts w:ascii="Arial" w:hAnsi="Arial" w:cs="Arial"/>
          <w:color w:val="000000" w:themeColor="text1"/>
        </w:rPr>
        <w:t>Rai/Odette — 2021-12;</w:t>
      </w:r>
    </w:p>
    <w:p w14:paraId="2A25236E" w14:textId="77777777" w:rsidR="00CD012A" w:rsidRPr="00CE0AE2" w:rsidRDefault="00CD012A" w:rsidP="00CD012A">
      <w:pPr>
        <w:pStyle w:val="NormalWeb"/>
        <w:numPr>
          <w:ilvl w:val="0"/>
          <w:numId w:val="30"/>
        </w:numPr>
        <w:rPr>
          <w:rFonts w:ascii="Arial" w:hAnsi="Arial" w:cs="Arial"/>
          <w:color w:val="000000" w:themeColor="text1"/>
        </w:rPr>
      </w:pPr>
      <w:r w:rsidRPr="00CE0AE2">
        <w:rPr>
          <w:rFonts w:ascii="Arial" w:hAnsi="Arial" w:cs="Arial"/>
          <w:color w:val="000000" w:themeColor="text1"/>
        </w:rPr>
        <w:t>Megi/Agaton — 2022-04;</w:t>
      </w:r>
    </w:p>
    <w:p w14:paraId="6DCCE95B" w14:textId="77777777" w:rsidR="00CD012A" w:rsidRPr="00CE0AE2" w:rsidRDefault="00CD012A" w:rsidP="00CD012A">
      <w:pPr>
        <w:pStyle w:val="NormalWeb"/>
        <w:numPr>
          <w:ilvl w:val="0"/>
          <w:numId w:val="30"/>
        </w:numPr>
        <w:rPr>
          <w:rFonts w:ascii="Arial" w:hAnsi="Arial" w:cs="Arial"/>
          <w:color w:val="000000" w:themeColor="text1"/>
        </w:rPr>
      </w:pPr>
      <w:r w:rsidRPr="00CE0AE2">
        <w:rPr>
          <w:rFonts w:ascii="Arial" w:hAnsi="Arial" w:cs="Arial"/>
          <w:color w:val="000000" w:themeColor="text1"/>
        </w:rPr>
        <w:t>other Region VIII-impacting storms identified from IBTrACS/PAGASA/NDRRMC.</w:t>
      </w:r>
    </w:p>
    <w:p w14:paraId="69214350"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The purpose of the multi-event phase is not simply replication. It tests whether observability and interpretability vary by storm season, hazard timing, settlement morphology, and baseline state.</w:t>
      </w:r>
    </w:p>
    <w:p w14:paraId="3C204C9F" w14:textId="77777777" w:rsidR="00CD012A" w:rsidRPr="00CE0AE2" w:rsidRDefault="002E02BA" w:rsidP="00CD012A">
      <w:pPr>
        <w:rPr>
          <w:rFonts w:ascii="Arial" w:hAnsi="Arial" w:cs="Arial"/>
          <w:color w:val="000000" w:themeColor="text1"/>
        </w:rPr>
      </w:pPr>
      <w:r>
        <w:rPr>
          <w:noProof/>
        </w:rPr>
      </w:r>
      <w:r>
        <w:pict w14:anchorId="26FDD536">
          <v:rect id="Horizontal Line 10"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285391" w14:textId="77777777" w:rsidR="00CD012A" w:rsidRPr="000C20D8" w:rsidRDefault="00CD012A" w:rsidP="00CD012A">
      <w:pPr>
        <w:pStyle w:val="Heading3"/>
        <w:rPr>
          <w:rFonts w:ascii="Arial" w:hAnsi="Arial" w:cs="Arial"/>
          <w:b/>
          <w:bCs/>
          <w:color w:val="0432FF"/>
          <w:sz w:val="24"/>
          <w:szCs w:val="24"/>
        </w:rPr>
      </w:pPr>
      <w:r w:rsidRPr="000C20D8">
        <w:rPr>
          <w:rFonts w:ascii="Arial" w:hAnsi="Arial" w:cs="Arial"/>
          <w:b/>
          <w:bCs/>
          <w:color w:val="0432FF"/>
          <w:sz w:val="24"/>
          <w:szCs w:val="24"/>
        </w:rPr>
        <w:t>Step 10: Characterize seasonal observability and activity patterns</w:t>
      </w:r>
    </w:p>
    <w:p w14:paraId="2C1AB96B"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Before interpreting multi-event recovery, build a 2012–2024 seasonal observability climatology for Samar–Leyte.</w:t>
      </w:r>
    </w:p>
    <w:p w14:paraId="18480C40"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Outputs:</w:t>
      </w:r>
    </w:p>
    <w:p w14:paraId="1F0AA694" w14:textId="77777777" w:rsidR="00CD012A" w:rsidRPr="00CE0AE2" w:rsidRDefault="00CD012A" w:rsidP="00CD012A">
      <w:pPr>
        <w:pStyle w:val="NormalWeb"/>
        <w:numPr>
          <w:ilvl w:val="0"/>
          <w:numId w:val="31"/>
        </w:numPr>
        <w:rPr>
          <w:rFonts w:ascii="Arial" w:hAnsi="Arial" w:cs="Arial"/>
          <w:color w:val="000000" w:themeColor="text1"/>
        </w:rPr>
      </w:pPr>
      <w:r w:rsidRPr="00CE0AE2">
        <w:rPr>
          <w:rFonts w:ascii="Arial" w:hAnsi="Arial" w:cs="Arial"/>
          <w:color w:val="000000" w:themeColor="text1"/>
        </w:rPr>
        <w:t>monthly valid-day rate;</w:t>
      </w:r>
    </w:p>
    <w:p w14:paraId="76A53F7F" w14:textId="77777777" w:rsidR="00CD012A" w:rsidRPr="00CE0AE2" w:rsidRDefault="00CD012A" w:rsidP="00CD012A">
      <w:pPr>
        <w:pStyle w:val="NormalWeb"/>
        <w:numPr>
          <w:ilvl w:val="0"/>
          <w:numId w:val="31"/>
        </w:numPr>
        <w:rPr>
          <w:rFonts w:ascii="Arial" w:hAnsi="Arial" w:cs="Arial"/>
          <w:color w:val="000000" w:themeColor="text1"/>
        </w:rPr>
      </w:pPr>
      <w:r w:rsidRPr="00CE0AE2">
        <w:rPr>
          <w:rFonts w:ascii="Arial" w:hAnsi="Arial" w:cs="Arial"/>
          <w:color w:val="000000" w:themeColor="text1"/>
        </w:rPr>
        <w:t>monthly valid-pixel percentage;</w:t>
      </w:r>
    </w:p>
    <w:p w14:paraId="3C81F322" w14:textId="77777777" w:rsidR="00CD012A" w:rsidRPr="00CE0AE2" w:rsidRDefault="00CD012A" w:rsidP="00CD012A">
      <w:pPr>
        <w:pStyle w:val="NormalWeb"/>
        <w:numPr>
          <w:ilvl w:val="0"/>
          <w:numId w:val="31"/>
        </w:numPr>
        <w:rPr>
          <w:rFonts w:ascii="Arial" w:hAnsi="Arial" w:cs="Arial"/>
          <w:color w:val="000000" w:themeColor="text1"/>
        </w:rPr>
      </w:pPr>
      <w:r w:rsidRPr="00CE0AE2">
        <w:rPr>
          <w:rFonts w:ascii="Arial" w:hAnsi="Arial" w:cs="Arial"/>
          <w:color w:val="000000" w:themeColor="text1"/>
        </w:rPr>
        <w:t>longest gap by month;</w:t>
      </w:r>
    </w:p>
    <w:p w14:paraId="60592CE7" w14:textId="77777777" w:rsidR="00CD012A" w:rsidRPr="00CE0AE2" w:rsidRDefault="00CD012A" w:rsidP="00CD012A">
      <w:pPr>
        <w:pStyle w:val="NormalWeb"/>
        <w:numPr>
          <w:ilvl w:val="0"/>
          <w:numId w:val="31"/>
        </w:numPr>
        <w:rPr>
          <w:rFonts w:ascii="Arial" w:hAnsi="Arial" w:cs="Arial"/>
          <w:color w:val="000000" w:themeColor="text1"/>
        </w:rPr>
      </w:pPr>
      <w:r w:rsidRPr="00CE0AE2">
        <w:rPr>
          <w:rFonts w:ascii="Arial" w:hAnsi="Arial" w:cs="Arial"/>
          <w:color w:val="000000" w:themeColor="text1"/>
        </w:rPr>
        <w:t>storm-season versus non-storm-season observability;</w:t>
      </w:r>
    </w:p>
    <w:p w14:paraId="581C73AE" w14:textId="77777777" w:rsidR="00CD012A" w:rsidRPr="00CE0AE2" w:rsidRDefault="00CD012A" w:rsidP="00CD012A">
      <w:pPr>
        <w:pStyle w:val="NormalWeb"/>
        <w:numPr>
          <w:ilvl w:val="0"/>
          <w:numId w:val="31"/>
        </w:numPr>
        <w:rPr>
          <w:rFonts w:ascii="Arial" w:hAnsi="Arial" w:cs="Arial"/>
          <w:color w:val="000000" w:themeColor="text1"/>
        </w:rPr>
      </w:pPr>
      <w:r w:rsidRPr="00CE0AE2">
        <w:rPr>
          <w:rFonts w:ascii="Arial" w:hAnsi="Arial" w:cs="Arial"/>
          <w:color w:val="000000" w:themeColor="text1"/>
        </w:rPr>
        <w:t>GHSL-specific observability patterns;</w:t>
      </w:r>
    </w:p>
    <w:p w14:paraId="568ECB47" w14:textId="77777777" w:rsidR="00CD012A" w:rsidRPr="00CE0AE2" w:rsidRDefault="00CD012A" w:rsidP="00CD012A">
      <w:pPr>
        <w:pStyle w:val="NormalWeb"/>
        <w:numPr>
          <w:ilvl w:val="0"/>
          <w:numId w:val="31"/>
        </w:numPr>
        <w:rPr>
          <w:rFonts w:ascii="Arial" w:hAnsi="Arial" w:cs="Arial"/>
          <w:color w:val="000000" w:themeColor="text1"/>
        </w:rPr>
      </w:pPr>
      <w:r w:rsidRPr="00CE0AE2">
        <w:rPr>
          <w:rFonts w:ascii="Arial" w:hAnsi="Arial" w:cs="Arial"/>
          <w:color w:val="000000" w:themeColor="text1"/>
        </w:rPr>
        <w:t>VZA distribution by month;</w:t>
      </w:r>
    </w:p>
    <w:p w14:paraId="3F19404E" w14:textId="77777777" w:rsidR="00CD012A" w:rsidRPr="00CE0AE2" w:rsidRDefault="00CD012A" w:rsidP="00CD012A">
      <w:pPr>
        <w:pStyle w:val="NormalWeb"/>
        <w:numPr>
          <w:ilvl w:val="0"/>
          <w:numId w:val="31"/>
        </w:numPr>
        <w:rPr>
          <w:rFonts w:ascii="Arial" w:hAnsi="Arial" w:cs="Arial"/>
          <w:color w:val="000000" w:themeColor="text1"/>
        </w:rPr>
      </w:pPr>
      <w:r w:rsidRPr="00CE0AE2">
        <w:rPr>
          <w:rFonts w:ascii="Arial" w:hAnsi="Arial" w:cs="Arial"/>
          <w:color w:val="000000" w:themeColor="text1"/>
        </w:rPr>
        <w:t>baseline NTL seasonality by GHSL class;</w:t>
      </w:r>
    </w:p>
    <w:p w14:paraId="46C4BE30" w14:textId="77777777" w:rsidR="00CD012A" w:rsidRPr="00CE0AE2" w:rsidRDefault="00CD012A" w:rsidP="00CD012A">
      <w:pPr>
        <w:pStyle w:val="NormalWeb"/>
        <w:numPr>
          <w:ilvl w:val="0"/>
          <w:numId w:val="31"/>
        </w:numPr>
        <w:rPr>
          <w:rFonts w:ascii="Arial" w:hAnsi="Arial" w:cs="Arial"/>
          <w:color w:val="000000" w:themeColor="text1"/>
        </w:rPr>
      </w:pPr>
      <w:r w:rsidRPr="00CE0AE2">
        <w:rPr>
          <w:rFonts w:ascii="Arial" w:hAnsi="Arial" w:cs="Arial"/>
          <w:color w:val="000000" w:themeColor="text1"/>
        </w:rPr>
        <w:t>NGCP seasonal load pattern where available.</w:t>
      </w:r>
    </w:p>
    <w:p w14:paraId="04C106B7"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This separates disaster signal from seasonal cloud and activity structure.</w:t>
      </w:r>
    </w:p>
    <w:p w14:paraId="7C2B54B2"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Key diagnostic question:</w:t>
      </w:r>
    </w:p>
    <w:p w14:paraId="255D360A"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Do major storm windows occur during months when daily NTL is least observable?</w:t>
      </w:r>
    </w:p>
    <w:p w14:paraId="03EEDD67"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If yes, recovery analysis should emphasize envelopes, uncertainty labels, and product sensitivity rather than smooth daily profiles.</w:t>
      </w:r>
    </w:p>
    <w:p w14:paraId="7DB05BA1" w14:textId="77777777" w:rsidR="00CD012A" w:rsidRPr="00CE0AE2" w:rsidRDefault="002E02BA" w:rsidP="00CD012A">
      <w:pPr>
        <w:rPr>
          <w:rFonts w:ascii="Arial" w:hAnsi="Arial" w:cs="Arial"/>
          <w:color w:val="000000" w:themeColor="text1"/>
        </w:rPr>
      </w:pPr>
      <w:r>
        <w:rPr>
          <w:noProof/>
        </w:rPr>
      </w:r>
      <w:r>
        <w:pict w14:anchorId="4923B5E7">
          <v:rect id="Horizontal Lin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92CE6D" w14:textId="2FAA027F" w:rsidR="00CD012A" w:rsidRPr="00CE0AE2" w:rsidRDefault="00370BBE" w:rsidP="00CD012A">
      <w:pPr>
        <w:pStyle w:val="Heading2"/>
        <w:rPr>
          <w:rFonts w:ascii="Arial" w:hAnsi="Arial" w:cs="Arial"/>
          <w:color w:val="000000" w:themeColor="text1"/>
        </w:rPr>
      </w:pPr>
      <w:r>
        <w:rPr>
          <w:rFonts w:ascii="Arial" w:hAnsi="Arial" w:cs="Arial"/>
          <w:color w:val="000000" w:themeColor="text1"/>
        </w:rPr>
        <w:lastRenderedPageBreak/>
        <w:t>Novelty</w:t>
      </w:r>
      <w:r w:rsidR="00CD012A" w:rsidRPr="00CE0AE2">
        <w:rPr>
          <w:rFonts w:ascii="Arial" w:hAnsi="Arial" w:cs="Arial"/>
          <w:color w:val="000000" w:themeColor="text1"/>
        </w:rPr>
        <w:t xml:space="preserve"> statement</w:t>
      </w:r>
    </w:p>
    <w:p w14:paraId="0005EED0" w14:textId="77777777" w:rsidR="00CD012A" w:rsidRPr="00CE0AE2" w:rsidRDefault="00CD012A" w:rsidP="00CD012A">
      <w:pPr>
        <w:pStyle w:val="NormalWeb"/>
        <w:rPr>
          <w:rFonts w:ascii="Arial" w:hAnsi="Arial" w:cs="Arial"/>
          <w:color w:val="000000" w:themeColor="text1"/>
        </w:rPr>
      </w:pPr>
      <w:r w:rsidRPr="00CE0AE2">
        <w:rPr>
          <w:rFonts w:ascii="Arial" w:hAnsi="Arial" w:cs="Arial"/>
          <w:color w:val="000000" w:themeColor="text1"/>
        </w:rPr>
        <w:t>Daily nighttime lights have already been used to estimate post-disaster electricity restoration, tropical cyclone blackout duration, post-hurricane recovery heterogeneity, and counterfactual disaster impact. The remaining gap is whether these recovery metrics remain</w:t>
      </w:r>
      <w:r w:rsidRPr="00CE0AE2">
        <w:rPr>
          <w:rStyle w:val="apple-converted-space"/>
          <w:rFonts w:ascii="Arial" w:hAnsi="Arial" w:cs="Arial"/>
          <w:color w:val="000000" w:themeColor="text1"/>
        </w:rPr>
        <w:t> </w:t>
      </w:r>
      <w:r w:rsidRPr="00CE0AE2">
        <w:rPr>
          <w:rStyle w:val="Strong"/>
          <w:rFonts w:ascii="Arial" w:hAnsi="Arial" w:cs="Arial"/>
          <w:color w:val="000000" w:themeColor="text1"/>
        </w:rPr>
        <w:t>observable and interpretable</w:t>
      </w:r>
      <w:r w:rsidRPr="00CE0AE2">
        <w:rPr>
          <w:rStyle w:val="apple-converted-space"/>
          <w:rFonts w:ascii="Arial" w:hAnsi="Arial" w:cs="Arial"/>
          <w:color w:val="000000" w:themeColor="text1"/>
        </w:rPr>
        <w:t> </w:t>
      </w:r>
      <w:r w:rsidRPr="00CE0AE2">
        <w:rPr>
          <w:rFonts w:ascii="Arial" w:hAnsi="Arial" w:cs="Arial"/>
          <w:color w:val="000000" w:themeColor="text1"/>
        </w:rPr>
        <w:t>in cloud-impacted tropical regions where valid observations are sparse, missingness is seasonal, low-light settlements are unstable, and viewing geometry may distort daily radiance.</w:t>
      </w:r>
    </w:p>
    <w:p w14:paraId="2C318BA4" w14:textId="4A72632F" w:rsidR="006005F6" w:rsidRDefault="00CD012A" w:rsidP="00CD012A">
      <w:pPr>
        <w:pStyle w:val="NormalWeb"/>
        <w:rPr>
          <w:rFonts w:ascii="Arial" w:hAnsi="Arial" w:cs="Arial"/>
          <w:color w:val="000000" w:themeColor="text1"/>
        </w:rPr>
      </w:pPr>
      <w:r w:rsidRPr="00CE0AE2">
        <w:rPr>
          <w:rFonts w:ascii="Arial" w:hAnsi="Arial" w:cs="Arial"/>
          <w:color w:val="000000" w:themeColor="text1"/>
        </w:rPr>
        <w:t>A Philippines-focused RQ2 can contribute by testing this gap directly: first auditing phase-based observability around Haiyan/Yolanda, then comparing observed DNB-BRDF and gap-filled recovery profiles, stratifying admissible signals by GHSL settlement morphology, testing VZA sensitivity, validating functional recovery against NGCP load, and finally applying the same experiment across other Samar–Leyte storms from 2012–2024.</w:t>
      </w:r>
    </w:p>
    <w:p w14:paraId="27CCA154" w14:textId="77777777" w:rsidR="006005F6" w:rsidRPr="00CE0AE2" w:rsidRDefault="006005F6" w:rsidP="00CD012A">
      <w:pPr>
        <w:pStyle w:val="NormalWeb"/>
        <w:rPr>
          <w:rFonts w:ascii="Arial" w:hAnsi="Arial" w:cs="Arial"/>
          <w:color w:val="000000" w:themeColor="text1"/>
        </w:rPr>
      </w:pPr>
    </w:p>
    <w:p w14:paraId="44D4A0D4" w14:textId="77777777" w:rsidR="00173520" w:rsidRPr="00173520" w:rsidRDefault="00173520" w:rsidP="00173520">
      <w:pPr>
        <w:pStyle w:val="Heading1"/>
        <w:rPr>
          <w:rFonts w:ascii="Arial" w:hAnsi="Arial" w:cs="Arial"/>
          <w:b/>
          <w:bCs/>
          <w:color w:val="0432FF"/>
        </w:rPr>
      </w:pPr>
      <w:r w:rsidRPr="00173520">
        <w:rPr>
          <w:rFonts w:ascii="Arial" w:hAnsi="Arial" w:cs="Arial"/>
          <w:b/>
          <w:bCs/>
          <w:color w:val="0432FF"/>
        </w:rPr>
        <w:t>References</w:t>
      </w:r>
    </w:p>
    <w:p w14:paraId="2C2AB50A"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Chakraborty, S., &amp; Stokes, E. C. (2023). Adaptive modeling of satellite-derived nighttime lights time-series for tracking urban change processes using machine learning.</w:t>
      </w:r>
      <w:r w:rsidRPr="00173520">
        <w:rPr>
          <w:rStyle w:val="apple-converted-space"/>
          <w:rFonts w:ascii="Arial" w:hAnsi="Arial" w:cs="Arial"/>
          <w:color w:val="000000"/>
        </w:rPr>
        <w:t> </w:t>
      </w:r>
      <w:r w:rsidRPr="00173520">
        <w:rPr>
          <w:rStyle w:val="Emphasis"/>
          <w:rFonts w:ascii="Arial" w:hAnsi="Arial" w:cs="Arial"/>
          <w:color w:val="000000"/>
        </w:rPr>
        <w:t>Remote Sensing of Environment, 298</w:t>
      </w:r>
      <w:r w:rsidRPr="00173520">
        <w:rPr>
          <w:rFonts w:ascii="Arial" w:hAnsi="Arial" w:cs="Arial"/>
          <w:color w:val="000000"/>
        </w:rPr>
        <w:t>, 113818.</w:t>
      </w:r>
      <w:r w:rsidRPr="00173520">
        <w:rPr>
          <w:rStyle w:val="apple-converted-space"/>
          <w:rFonts w:ascii="Arial" w:hAnsi="Arial" w:cs="Arial"/>
          <w:color w:val="000000"/>
        </w:rPr>
        <w:t> </w:t>
      </w:r>
      <w:hyperlink r:id="rId8" w:history="1">
        <w:r w:rsidRPr="00173520">
          <w:rPr>
            <w:rStyle w:val="Hyperlink"/>
            <w:rFonts w:ascii="Arial" w:hAnsi="Arial" w:cs="Arial"/>
          </w:rPr>
          <w:t>https://doi.org/10.1016/j.rse.2023.113818</w:t>
        </w:r>
      </w:hyperlink>
    </w:p>
    <w:p w14:paraId="7D701A2B"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Mo, Y., Thomas, F., Rui, J., &amp; Hall, J. W. (2025). Daily night-time lights reveal prolonging global electric power system recovery times following tropical cyclone damage.</w:t>
      </w:r>
      <w:r w:rsidRPr="00173520">
        <w:rPr>
          <w:rStyle w:val="apple-converted-space"/>
          <w:rFonts w:ascii="Arial" w:hAnsi="Arial" w:cs="Arial"/>
          <w:color w:val="000000"/>
        </w:rPr>
        <w:t> </w:t>
      </w:r>
      <w:r w:rsidRPr="00173520">
        <w:rPr>
          <w:rStyle w:val="Emphasis"/>
          <w:rFonts w:ascii="Arial" w:hAnsi="Arial" w:cs="Arial"/>
          <w:color w:val="000000"/>
        </w:rPr>
        <w:t>Environmental Research: Infrastructure and Sustainability, 5</w:t>
      </w:r>
      <w:r w:rsidRPr="00173520">
        <w:rPr>
          <w:rFonts w:ascii="Arial" w:hAnsi="Arial" w:cs="Arial"/>
          <w:color w:val="000000"/>
        </w:rPr>
        <w:t>(3), 035001.</w:t>
      </w:r>
      <w:r w:rsidRPr="00173520">
        <w:rPr>
          <w:rStyle w:val="apple-converted-space"/>
          <w:rFonts w:ascii="Arial" w:hAnsi="Arial" w:cs="Arial"/>
          <w:color w:val="000000"/>
        </w:rPr>
        <w:t> </w:t>
      </w:r>
      <w:hyperlink r:id="rId9" w:history="1">
        <w:r w:rsidRPr="00173520">
          <w:rPr>
            <w:rStyle w:val="Hyperlink"/>
            <w:rFonts w:ascii="Arial" w:hAnsi="Arial" w:cs="Arial"/>
          </w:rPr>
          <w:t>https://doi.org/10.1088/2634-4505/ade474</w:t>
        </w:r>
      </w:hyperlink>
    </w:p>
    <w:p w14:paraId="50A8E625"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Mu, T., Zheng, Q., &amp; He, S. Y. (2025). Robust disaster impact assessment with synthetic control modeling framework and daily nighttime light time series images.</w:t>
      </w:r>
      <w:r w:rsidRPr="00173520">
        <w:rPr>
          <w:rStyle w:val="apple-converted-space"/>
          <w:rFonts w:ascii="Arial" w:hAnsi="Arial" w:cs="Arial"/>
          <w:color w:val="000000"/>
        </w:rPr>
        <w:t> </w:t>
      </w:r>
      <w:r w:rsidRPr="00173520">
        <w:rPr>
          <w:rStyle w:val="Emphasis"/>
          <w:rFonts w:ascii="Arial" w:hAnsi="Arial" w:cs="Arial"/>
          <w:color w:val="000000"/>
        </w:rPr>
        <w:t>IEEE Transactions on Geoscience and Remote Sensing, 63</w:t>
      </w:r>
      <w:r w:rsidRPr="00173520">
        <w:rPr>
          <w:rFonts w:ascii="Arial" w:hAnsi="Arial" w:cs="Arial"/>
          <w:color w:val="000000"/>
        </w:rPr>
        <w:t>, Article 4400712.</w:t>
      </w:r>
      <w:r w:rsidRPr="00173520">
        <w:rPr>
          <w:rStyle w:val="apple-converted-space"/>
          <w:rFonts w:ascii="Arial" w:hAnsi="Arial" w:cs="Arial"/>
          <w:color w:val="000000"/>
        </w:rPr>
        <w:t> </w:t>
      </w:r>
      <w:hyperlink r:id="rId10" w:history="1">
        <w:r w:rsidRPr="00173520">
          <w:rPr>
            <w:rStyle w:val="Hyperlink"/>
            <w:rFonts w:ascii="Arial" w:hAnsi="Arial" w:cs="Arial"/>
          </w:rPr>
          <w:t>https://doi.org/10.1109/TGRS.2024.3512549</w:t>
        </w:r>
      </w:hyperlink>
    </w:p>
    <w:p w14:paraId="7A920350"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Román, M. O., Stokes, E. C., Shrestha, R., Wang, Z., Schultz, L., Sepúlveda Carlo, E. A., Sun, Q., Bell, J., Molthan, A., Kalb, V., Ji, C., Seto, K. C., McClain, S. N., &amp; Enenkel, M. (2019). Satellite-based assessment of electricity restoration efforts in Puerto Rico after Hurricane Maria.</w:t>
      </w:r>
      <w:r w:rsidRPr="00173520">
        <w:rPr>
          <w:rStyle w:val="apple-converted-space"/>
          <w:rFonts w:ascii="Arial" w:hAnsi="Arial" w:cs="Arial"/>
          <w:color w:val="000000"/>
        </w:rPr>
        <w:t> </w:t>
      </w:r>
      <w:r w:rsidRPr="00173520">
        <w:rPr>
          <w:rStyle w:val="Emphasis"/>
          <w:rFonts w:ascii="Arial" w:hAnsi="Arial" w:cs="Arial"/>
          <w:color w:val="000000"/>
        </w:rPr>
        <w:t>PLOS ONE, 14</w:t>
      </w:r>
      <w:r w:rsidRPr="00173520">
        <w:rPr>
          <w:rFonts w:ascii="Arial" w:hAnsi="Arial" w:cs="Arial"/>
          <w:color w:val="000000"/>
        </w:rPr>
        <w:t>(6), e0218883.</w:t>
      </w:r>
      <w:r w:rsidRPr="00173520">
        <w:rPr>
          <w:rStyle w:val="apple-converted-space"/>
          <w:rFonts w:ascii="Arial" w:hAnsi="Arial" w:cs="Arial"/>
          <w:color w:val="000000"/>
        </w:rPr>
        <w:t> </w:t>
      </w:r>
      <w:hyperlink r:id="rId11" w:history="1">
        <w:r w:rsidRPr="00173520">
          <w:rPr>
            <w:rStyle w:val="Hyperlink"/>
            <w:rFonts w:ascii="Arial" w:hAnsi="Arial" w:cs="Arial"/>
          </w:rPr>
          <w:t>https://doi.org/10.1371/journal.pone.0218883</w:t>
        </w:r>
      </w:hyperlink>
    </w:p>
    <w:p w14:paraId="4E960727"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 xml:space="preserve">Román, M. O., Wang, Z., Sun, Q., Kalb, V., Miller, S. D., Molthan, A., Schultz, L., Bell, J., Stokes, E. C., Pandey, B., Seto, K. C., Hall, D., Davidson, C., Sarkar, S., Praderas, C., Schmaltz, J., Boller, R., Stevens, J., Ramos González, O. M., Padilla, E., Alonso, J., Detrés, Y., Armstrong, R., Miranda, I., Conte, Y., Marrero, N., MacManus, K., Esch, T., </w:t>
      </w:r>
      <w:r w:rsidRPr="00173520">
        <w:rPr>
          <w:rFonts w:ascii="Arial" w:hAnsi="Arial" w:cs="Arial"/>
          <w:color w:val="000000"/>
        </w:rPr>
        <w:lastRenderedPageBreak/>
        <w:t>&amp; Masuoka, E. J. (2018). NASA’s Black Marble nighttime lights product suite.</w:t>
      </w:r>
      <w:r w:rsidRPr="00173520">
        <w:rPr>
          <w:rStyle w:val="apple-converted-space"/>
          <w:rFonts w:ascii="Arial" w:hAnsi="Arial" w:cs="Arial"/>
          <w:color w:val="000000"/>
        </w:rPr>
        <w:t> </w:t>
      </w:r>
      <w:r w:rsidRPr="00173520">
        <w:rPr>
          <w:rStyle w:val="Emphasis"/>
          <w:rFonts w:ascii="Arial" w:hAnsi="Arial" w:cs="Arial"/>
          <w:color w:val="000000"/>
        </w:rPr>
        <w:t>Remote Sensing of Environment, 210</w:t>
      </w:r>
      <w:r w:rsidRPr="00173520">
        <w:rPr>
          <w:rFonts w:ascii="Arial" w:hAnsi="Arial" w:cs="Arial"/>
          <w:color w:val="000000"/>
        </w:rPr>
        <w:t>, 113–143.</w:t>
      </w:r>
      <w:r w:rsidRPr="00173520">
        <w:rPr>
          <w:rStyle w:val="apple-converted-space"/>
          <w:rFonts w:ascii="Arial" w:hAnsi="Arial" w:cs="Arial"/>
          <w:color w:val="000000"/>
        </w:rPr>
        <w:t> </w:t>
      </w:r>
      <w:hyperlink r:id="rId12" w:history="1">
        <w:r w:rsidRPr="00173520">
          <w:rPr>
            <w:rStyle w:val="Hyperlink"/>
            <w:rFonts w:ascii="Arial" w:hAnsi="Arial" w:cs="Arial"/>
          </w:rPr>
          <w:t>https://doi.org/10.1016/j.rse.2018.03.017</w:t>
        </w:r>
      </w:hyperlink>
    </w:p>
    <w:p w14:paraId="6C9D3D01"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Small, C. (2021).</w:t>
      </w:r>
      <w:r w:rsidRPr="00173520">
        <w:rPr>
          <w:rStyle w:val="apple-converted-space"/>
          <w:rFonts w:ascii="Arial" w:hAnsi="Arial" w:cs="Arial"/>
          <w:color w:val="000000"/>
        </w:rPr>
        <w:t> </w:t>
      </w:r>
      <w:r w:rsidRPr="00173520">
        <w:rPr>
          <w:rStyle w:val="Emphasis"/>
          <w:rFonts w:ascii="Arial" w:hAnsi="Arial" w:cs="Arial"/>
          <w:color w:val="000000"/>
        </w:rPr>
        <w:t>Spatiotemporal characterization of VIIRS night light</w:t>
      </w:r>
      <w:r w:rsidRPr="00173520">
        <w:rPr>
          <w:rFonts w:ascii="Arial" w:hAnsi="Arial" w:cs="Arial"/>
          <w:color w:val="000000"/>
        </w:rPr>
        <w:t>. arXiv.</w:t>
      </w:r>
      <w:r w:rsidRPr="00173520">
        <w:rPr>
          <w:rStyle w:val="apple-converted-space"/>
          <w:rFonts w:ascii="Arial" w:hAnsi="Arial" w:cs="Arial"/>
          <w:color w:val="000000"/>
        </w:rPr>
        <w:t> </w:t>
      </w:r>
      <w:hyperlink r:id="rId13" w:history="1">
        <w:r w:rsidRPr="00173520">
          <w:rPr>
            <w:rStyle w:val="Hyperlink"/>
            <w:rFonts w:ascii="Arial" w:hAnsi="Arial" w:cs="Arial"/>
          </w:rPr>
          <w:t>https://doi.org/10.48550/arXiv.2109.06913</w:t>
        </w:r>
      </w:hyperlink>
    </w:p>
    <w:p w14:paraId="673A4765"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Thomas, N., Rahimi, S., Vapsi, A., Ansell, C., Christie, E., Borrajo, D., Balch, T., &amp; Veloso, M. (2024).</w:t>
      </w:r>
      <w:r w:rsidRPr="00173520">
        <w:rPr>
          <w:rStyle w:val="apple-converted-space"/>
          <w:rFonts w:ascii="Arial" w:hAnsi="Arial" w:cs="Arial"/>
          <w:color w:val="000000"/>
        </w:rPr>
        <w:t> </w:t>
      </w:r>
      <w:r w:rsidRPr="00173520">
        <w:rPr>
          <w:rStyle w:val="Emphasis"/>
          <w:rFonts w:ascii="Arial" w:hAnsi="Arial" w:cs="Arial"/>
          <w:color w:val="000000"/>
        </w:rPr>
        <w:t>Shining a light on hurricane damage estimation via nighttime light data: Pre-processing matters</w:t>
      </w:r>
      <w:r w:rsidRPr="00173520">
        <w:rPr>
          <w:rFonts w:ascii="Arial" w:hAnsi="Arial" w:cs="Arial"/>
          <w:color w:val="000000"/>
        </w:rPr>
        <w:t>. arXiv.</w:t>
      </w:r>
      <w:r w:rsidRPr="00173520">
        <w:rPr>
          <w:rStyle w:val="apple-converted-space"/>
          <w:rFonts w:ascii="Arial" w:hAnsi="Arial" w:cs="Arial"/>
          <w:color w:val="000000"/>
        </w:rPr>
        <w:t> </w:t>
      </w:r>
      <w:hyperlink r:id="rId14" w:history="1">
        <w:r w:rsidRPr="00173520">
          <w:rPr>
            <w:rStyle w:val="Hyperlink"/>
            <w:rFonts w:ascii="Arial" w:hAnsi="Arial" w:cs="Arial"/>
          </w:rPr>
          <w:t>https://doi.org/10.48550/arXiv.2410.22150</w:t>
        </w:r>
      </w:hyperlink>
    </w:p>
    <w:p w14:paraId="41D1ED72"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Tong, K. P. (2025).</w:t>
      </w:r>
      <w:r w:rsidRPr="00173520">
        <w:rPr>
          <w:rStyle w:val="apple-converted-space"/>
          <w:rFonts w:ascii="Arial" w:hAnsi="Arial" w:cs="Arial"/>
          <w:color w:val="000000"/>
        </w:rPr>
        <w:t> </w:t>
      </w:r>
      <w:r w:rsidRPr="00173520">
        <w:rPr>
          <w:rStyle w:val="Emphasis"/>
          <w:rFonts w:ascii="Arial" w:hAnsi="Arial" w:cs="Arial"/>
          <w:color w:val="000000"/>
        </w:rPr>
        <w:t>Land use and anisotropy of artificial light observed by night time satellite</w:t>
      </w:r>
      <w:r w:rsidRPr="00173520">
        <w:rPr>
          <w:rFonts w:ascii="Arial" w:hAnsi="Arial" w:cs="Arial"/>
          <w:color w:val="000000"/>
        </w:rPr>
        <w:t>. arXiv.</w:t>
      </w:r>
      <w:r w:rsidRPr="00173520">
        <w:rPr>
          <w:rStyle w:val="apple-converted-space"/>
          <w:rFonts w:ascii="Arial" w:hAnsi="Arial" w:cs="Arial"/>
          <w:color w:val="000000"/>
        </w:rPr>
        <w:t> </w:t>
      </w:r>
      <w:hyperlink r:id="rId15" w:history="1">
        <w:r w:rsidRPr="00173520">
          <w:rPr>
            <w:rStyle w:val="Hyperlink"/>
            <w:rFonts w:ascii="Arial" w:hAnsi="Arial" w:cs="Arial"/>
          </w:rPr>
          <w:t>https://doi.org/10.48550/arXiv.2510.05105</w:t>
        </w:r>
      </w:hyperlink>
    </w:p>
    <w:p w14:paraId="2D8EFCA4"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Zhao, N., Liu, Y., Hsu, F.-C., Samson, E. L., Letu, H., Liang, D., &amp; Cao, G. (2020). Time series analysis of VIIRS-DNB nighttime lights imagery for change detection in urban areas: A case study of devastation in Puerto Rico from hurricanes Irma and Maria.</w:t>
      </w:r>
      <w:r w:rsidRPr="00173520">
        <w:rPr>
          <w:rStyle w:val="apple-converted-space"/>
          <w:rFonts w:ascii="Arial" w:hAnsi="Arial" w:cs="Arial"/>
          <w:color w:val="000000"/>
        </w:rPr>
        <w:t> </w:t>
      </w:r>
      <w:r w:rsidRPr="00173520">
        <w:rPr>
          <w:rStyle w:val="Emphasis"/>
          <w:rFonts w:ascii="Arial" w:hAnsi="Arial" w:cs="Arial"/>
          <w:color w:val="000000"/>
        </w:rPr>
        <w:t>Applied Geography, 120</w:t>
      </w:r>
      <w:r w:rsidRPr="00173520">
        <w:rPr>
          <w:rFonts w:ascii="Arial" w:hAnsi="Arial" w:cs="Arial"/>
          <w:color w:val="000000"/>
        </w:rPr>
        <w:t>, 102222.</w:t>
      </w:r>
      <w:r w:rsidRPr="00173520">
        <w:rPr>
          <w:rStyle w:val="apple-converted-space"/>
          <w:rFonts w:ascii="Arial" w:hAnsi="Arial" w:cs="Arial"/>
          <w:color w:val="000000"/>
        </w:rPr>
        <w:t> </w:t>
      </w:r>
      <w:hyperlink r:id="rId16" w:history="1">
        <w:r w:rsidRPr="00173520">
          <w:rPr>
            <w:rStyle w:val="Hyperlink"/>
            <w:rFonts w:ascii="Arial" w:hAnsi="Arial" w:cs="Arial"/>
          </w:rPr>
          <w:t>https://doi.org/10.1016/j.apgeog.2020.102222</w:t>
        </w:r>
      </w:hyperlink>
    </w:p>
    <w:p w14:paraId="617EEB54"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Zheng, Q., Zeng, Y., Zhou, Y., Wang, Z., Mu, T., &amp; Weng, Q. (2025). Nighttime lights reveal substantial spatial heterogeneity and inequality in post-hurricane recovery.</w:t>
      </w:r>
      <w:r w:rsidRPr="00173520">
        <w:rPr>
          <w:rStyle w:val="apple-converted-space"/>
          <w:rFonts w:ascii="Arial" w:hAnsi="Arial" w:cs="Arial"/>
          <w:color w:val="000000"/>
        </w:rPr>
        <w:t> </w:t>
      </w:r>
      <w:r w:rsidRPr="00173520">
        <w:rPr>
          <w:rStyle w:val="Emphasis"/>
          <w:rFonts w:ascii="Arial" w:hAnsi="Arial" w:cs="Arial"/>
          <w:color w:val="000000"/>
        </w:rPr>
        <w:t>Remote Sensing of Environment, 319</w:t>
      </w:r>
      <w:r w:rsidRPr="00173520">
        <w:rPr>
          <w:rFonts w:ascii="Arial" w:hAnsi="Arial" w:cs="Arial"/>
          <w:color w:val="000000"/>
        </w:rPr>
        <w:t>, 114645.</w:t>
      </w:r>
      <w:r w:rsidRPr="00173520">
        <w:rPr>
          <w:rStyle w:val="apple-converted-space"/>
          <w:rFonts w:ascii="Arial" w:hAnsi="Arial" w:cs="Arial"/>
          <w:color w:val="000000"/>
        </w:rPr>
        <w:t> </w:t>
      </w:r>
      <w:hyperlink r:id="rId17" w:history="1">
        <w:r w:rsidRPr="00173520">
          <w:rPr>
            <w:rStyle w:val="Hyperlink"/>
            <w:rFonts w:ascii="Arial" w:hAnsi="Arial" w:cs="Arial"/>
          </w:rPr>
          <w:t>https://doi.org/10.1016/j.rse.2025.114645</w:t>
        </w:r>
      </w:hyperlink>
    </w:p>
    <w:p w14:paraId="6BE6F7F7" w14:textId="77777777" w:rsidR="00173520" w:rsidRDefault="00173520" w:rsidP="00173520">
      <w:pPr>
        <w:pStyle w:val="NormalWeb"/>
        <w:rPr>
          <w:rFonts w:ascii="Arial" w:hAnsi="Arial" w:cs="Arial"/>
          <w:color w:val="000000"/>
        </w:rPr>
      </w:pPr>
    </w:p>
    <w:p w14:paraId="52C99D71" w14:textId="5AD9ADA2" w:rsidR="00173520" w:rsidRPr="00173520" w:rsidRDefault="00173520" w:rsidP="00173520">
      <w:pPr>
        <w:pStyle w:val="NormalWeb"/>
        <w:rPr>
          <w:rFonts w:ascii="Arial" w:hAnsi="Arial" w:cs="Arial"/>
          <w:color w:val="000000"/>
        </w:rPr>
      </w:pPr>
      <w:r w:rsidRPr="00173520">
        <w:rPr>
          <w:rFonts w:ascii="Arial" w:hAnsi="Arial" w:cs="Arial"/>
          <w:color w:val="000000"/>
        </w:rPr>
        <w:t>Chen, X., &amp; Nordhaus, W. D. (2011). Using luminosity data as a proxy for economic statistics.</w:t>
      </w:r>
      <w:r w:rsidRPr="00173520">
        <w:rPr>
          <w:rStyle w:val="apple-converted-space"/>
          <w:rFonts w:ascii="Arial" w:hAnsi="Arial" w:cs="Arial"/>
          <w:color w:val="000000"/>
        </w:rPr>
        <w:t> </w:t>
      </w:r>
      <w:r w:rsidRPr="00173520">
        <w:rPr>
          <w:rStyle w:val="Emphasis"/>
          <w:rFonts w:ascii="Arial" w:hAnsi="Arial" w:cs="Arial"/>
          <w:color w:val="000000"/>
        </w:rPr>
        <w:t>Proceedings of the National Academy of Sciences, 108</w:t>
      </w:r>
      <w:r w:rsidRPr="00173520">
        <w:rPr>
          <w:rFonts w:ascii="Arial" w:hAnsi="Arial" w:cs="Arial"/>
          <w:color w:val="000000"/>
        </w:rPr>
        <w:t>(21), 8589–8594.</w:t>
      </w:r>
      <w:r w:rsidRPr="00173520">
        <w:rPr>
          <w:rStyle w:val="apple-converted-space"/>
          <w:rFonts w:ascii="Arial" w:hAnsi="Arial" w:cs="Arial"/>
          <w:color w:val="000000"/>
        </w:rPr>
        <w:t> </w:t>
      </w:r>
      <w:hyperlink r:id="rId18" w:history="1">
        <w:r w:rsidRPr="00173520">
          <w:rPr>
            <w:rStyle w:val="Hyperlink"/>
            <w:rFonts w:ascii="Arial" w:hAnsi="Arial" w:cs="Arial"/>
          </w:rPr>
          <w:t>https://doi.org/10.1073/pnas.1017031108</w:t>
        </w:r>
      </w:hyperlink>
    </w:p>
    <w:p w14:paraId="1BA9CC93"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Cole, T. A., Wanik, D. W., Molthan, A. L., Román, M. O., &amp; Griffin, R. E. (2017). Synergistic use of nighttime satellite data, electric utility infrastructure, and ambient population to improve power outage detections in urban areas.</w:t>
      </w:r>
      <w:r w:rsidRPr="00173520">
        <w:rPr>
          <w:rStyle w:val="apple-converted-space"/>
          <w:rFonts w:ascii="Arial" w:hAnsi="Arial" w:cs="Arial"/>
          <w:color w:val="000000"/>
        </w:rPr>
        <w:t> </w:t>
      </w:r>
      <w:r w:rsidRPr="00173520">
        <w:rPr>
          <w:rStyle w:val="Emphasis"/>
          <w:rFonts w:ascii="Arial" w:hAnsi="Arial" w:cs="Arial"/>
          <w:color w:val="000000"/>
        </w:rPr>
        <w:t>Remote Sensing, 9</w:t>
      </w:r>
      <w:r w:rsidRPr="00173520">
        <w:rPr>
          <w:rFonts w:ascii="Arial" w:hAnsi="Arial" w:cs="Arial"/>
          <w:color w:val="000000"/>
        </w:rPr>
        <w:t>(3), 286.</w:t>
      </w:r>
      <w:r w:rsidRPr="00173520">
        <w:rPr>
          <w:rStyle w:val="apple-converted-space"/>
          <w:rFonts w:ascii="Arial" w:hAnsi="Arial" w:cs="Arial"/>
          <w:color w:val="000000"/>
        </w:rPr>
        <w:t> </w:t>
      </w:r>
      <w:hyperlink r:id="rId19" w:history="1">
        <w:r w:rsidRPr="00173520">
          <w:rPr>
            <w:rStyle w:val="Hyperlink"/>
            <w:rFonts w:ascii="Arial" w:hAnsi="Arial" w:cs="Arial"/>
          </w:rPr>
          <w:t>https://doi.org/10.3390/rs9030286</w:t>
        </w:r>
      </w:hyperlink>
    </w:p>
    <w:p w14:paraId="5C19D2AE"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Henderson, J. V., Storeygard, A., &amp; Weil, D. N. (2012). Measuring economic growth from outer space.</w:t>
      </w:r>
      <w:r w:rsidRPr="00173520">
        <w:rPr>
          <w:rStyle w:val="apple-converted-space"/>
          <w:rFonts w:ascii="Arial" w:hAnsi="Arial" w:cs="Arial"/>
          <w:color w:val="000000"/>
        </w:rPr>
        <w:t> </w:t>
      </w:r>
      <w:r w:rsidRPr="00173520">
        <w:rPr>
          <w:rStyle w:val="Emphasis"/>
          <w:rFonts w:ascii="Arial" w:hAnsi="Arial" w:cs="Arial"/>
          <w:color w:val="000000"/>
        </w:rPr>
        <w:t>American Economic Review, 102</w:t>
      </w:r>
      <w:r w:rsidRPr="00173520">
        <w:rPr>
          <w:rFonts w:ascii="Arial" w:hAnsi="Arial" w:cs="Arial"/>
          <w:color w:val="000000"/>
        </w:rPr>
        <w:t>(2), 994–1028.</w:t>
      </w:r>
      <w:r w:rsidRPr="00173520">
        <w:rPr>
          <w:rStyle w:val="apple-converted-space"/>
          <w:rFonts w:ascii="Arial" w:hAnsi="Arial" w:cs="Arial"/>
          <w:color w:val="000000"/>
        </w:rPr>
        <w:t> </w:t>
      </w:r>
      <w:hyperlink r:id="rId20" w:history="1">
        <w:r w:rsidRPr="00173520">
          <w:rPr>
            <w:rStyle w:val="Hyperlink"/>
            <w:rFonts w:ascii="Arial" w:hAnsi="Arial" w:cs="Arial"/>
          </w:rPr>
          <w:t>https://doi.org/10.1257/aer.102.2.994</w:t>
        </w:r>
      </w:hyperlink>
    </w:p>
    <w:p w14:paraId="65B44EA7"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Hu, Y., Liu, Y., &amp; Zeng, H. (2025). Whole-process assessment of flood resilience in urban and rural communities based on nighttime lights: A case study of Zhuozhou flood.</w:t>
      </w:r>
      <w:r w:rsidRPr="00173520">
        <w:rPr>
          <w:rStyle w:val="apple-converted-space"/>
          <w:rFonts w:ascii="Arial" w:hAnsi="Arial" w:cs="Arial"/>
          <w:color w:val="000000"/>
        </w:rPr>
        <w:t> </w:t>
      </w:r>
      <w:r w:rsidRPr="00173520">
        <w:rPr>
          <w:rStyle w:val="Emphasis"/>
          <w:rFonts w:ascii="Arial" w:hAnsi="Arial" w:cs="Arial"/>
          <w:color w:val="000000"/>
        </w:rPr>
        <w:t>Urban Climate, 61</w:t>
      </w:r>
      <w:r w:rsidRPr="00173520">
        <w:rPr>
          <w:rFonts w:ascii="Arial" w:hAnsi="Arial" w:cs="Arial"/>
          <w:color w:val="000000"/>
        </w:rPr>
        <w:t>, 102438.</w:t>
      </w:r>
      <w:r w:rsidRPr="00173520">
        <w:rPr>
          <w:rStyle w:val="apple-converted-space"/>
          <w:rFonts w:ascii="Arial" w:hAnsi="Arial" w:cs="Arial"/>
          <w:color w:val="000000"/>
        </w:rPr>
        <w:t> </w:t>
      </w:r>
      <w:hyperlink r:id="rId21" w:history="1">
        <w:r w:rsidRPr="00173520">
          <w:rPr>
            <w:rStyle w:val="Hyperlink"/>
            <w:rFonts w:ascii="Arial" w:hAnsi="Arial" w:cs="Arial"/>
          </w:rPr>
          <w:t>https://doi.org/10.1016/j.uclim.2025.102438</w:t>
        </w:r>
      </w:hyperlink>
    </w:p>
    <w:p w14:paraId="513A36A8"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Hung, L.-W., Anderson, S. J., Pipkin, A., &amp; Fristrup, K. (2021). Changes in night sky brightness after a countywide LED retrofit.</w:t>
      </w:r>
      <w:r w:rsidRPr="00173520">
        <w:rPr>
          <w:rStyle w:val="apple-converted-space"/>
          <w:rFonts w:ascii="Arial" w:hAnsi="Arial" w:cs="Arial"/>
          <w:color w:val="000000"/>
        </w:rPr>
        <w:t> </w:t>
      </w:r>
      <w:r w:rsidRPr="00173520">
        <w:rPr>
          <w:rStyle w:val="Emphasis"/>
          <w:rFonts w:ascii="Arial" w:hAnsi="Arial" w:cs="Arial"/>
          <w:color w:val="000000"/>
        </w:rPr>
        <w:t>Journal of Environmental Management, 292</w:t>
      </w:r>
      <w:r w:rsidRPr="00173520">
        <w:rPr>
          <w:rFonts w:ascii="Arial" w:hAnsi="Arial" w:cs="Arial"/>
          <w:color w:val="000000"/>
        </w:rPr>
        <w:t>, 112776.</w:t>
      </w:r>
      <w:r w:rsidRPr="00173520">
        <w:rPr>
          <w:rStyle w:val="apple-converted-space"/>
          <w:rFonts w:ascii="Arial" w:hAnsi="Arial" w:cs="Arial"/>
          <w:color w:val="000000"/>
        </w:rPr>
        <w:t> </w:t>
      </w:r>
      <w:hyperlink r:id="rId22" w:history="1">
        <w:r w:rsidRPr="00173520">
          <w:rPr>
            <w:rStyle w:val="Hyperlink"/>
            <w:rFonts w:ascii="Arial" w:hAnsi="Arial" w:cs="Arial"/>
          </w:rPr>
          <w:t>https://doi.org/10.1016/j.jenvman.2021.112776</w:t>
        </w:r>
      </w:hyperlink>
    </w:p>
    <w:p w14:paraId="414FAAA4" w14:textId="77777777" w:rsidR="00173520" w:rsidRPr="00173520" w:rsidRDefault="00173520" w:rsidP="00173520">
      <w:pPr>
        <w:pStyle w:val="NormalWeb"/>
        <w:rPr>
          <w:rFonts w:ascii="Arial" w:hAnsi="Arial" w:cs="Arial"/>
          <w:color w:val="000000"/>
        </w:rPr>
      </w:pPr>
      <w:r w:rsidRPr="00173520">
        <w:rPr>
          <w:rFonts w:ascii="Arial" w:hAnsi="Arial" w:cs="Arial"/>
          <w:color w:val="000000"/>
        </w:rPr>
        <w:lastRenderedPageBreak/>
        <w:t>Miller, S. D., Straka, W., Mills, S. P., Elvidge, C. D., Lee, T. F., Solbrig, J., Walther, A., Heidinger, A. K., &amp; Weiss, S. C. (2013). Illuminating the capabilities of the Suomi National Polar-orbiting Partnership VIIRS Day/Night Band.</w:t>
      </w:r>
      <w:r w:rsidRPr="00173520">
        <w:rPr>
          <w:rStyle w:val="apple-converted-space"/>
          <w:rFonts w:ascii="Arial" w:hAnsi="Arial" w:cs="Arial"/>
          <w:color w:val="000000"/>
        </w:rPr>
        <w:t> </w:t>
      </w:r>
      <w:r w:rsidRPr="00173520">
        <w:rPr>
          <w:rStyle w:val="Emphasis"/>
          <w:rFonts w:ascii="Arial" w:hAnsi="Arial" w:cs="Arial"/>
          <w:color w:val="000000"/>
        </w:rPr>
        <w:t>Remote Sensing, 5</w:t>
      </w:r>
      <w:r w:rsidRPr="00173520">
        <w:rPr>
          <w:rFonts w:ascii="Arial" w:hAnsi="Arial" w:cs="Arial"/>
          <w:color w:val="000000"/>
        </w:rPr>
        <w:t>(12), 6717–6766.</w:t>
      </w:r>
      <w:r w:rsidRPr="00173520">
        <w:rPr>
          <w:rStyle w:val="apple-converted-space"/>
          <w:rFonts w:ascii="Arial" w:hAnsi="Arial" w:cs="Arial"/>
          <w:color w:val="000000"/>
        </w:rPr>
        <w:t> </w:t>
      </w:r>
      <w:hyperlink r:id="rId23" w:history="1">
        <w:r w:rsidRPr="00173520">
          <w:rPr>
            <w:rStyle w:val="Hyperlink"/>
            <w:rFonts w:ascii="Arial" w:hAnsi="Arial" w:cs="Arial"/>
          </w:rPr>
          <w:t>https://doi.org/10.3390/rs5126717</w:t>
        </w:r>
      </w:hyperlink>
    </w:p>
    <w:p w14:paraId="285226BA"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Shermeyer, J. (2018).</w:t>
      </w:r>
      <w:r w:rsidRPr="00173520">
        <w:rPr>
          <w:rStyle w:val="apple-converted-space"/>
          <w:rFonts w:ascii="Arial" w:hAnsi="Arial" w:cs="Arial"/>
          <w:color w:val="000000"/>
        </w:rPr>
        <w:t> </w:t>
      </w:r>
      <w:r w:rsidRPr="00173520">
        <w:rPr>
          <w:rStyle w:val="Emphasis"/>
          <w:rFonts w:ascii="Arial" w:hAnsi="Arial" w:cs="Arial"/>
          <w:color w:val="000000"/>
        </w:rPr>
        <w:t>Assessment of electrical and infrastructure recovery in Puerto Rico following Hurricane Maria using a multisource time series of satellite imagery</w:t>
      </w:r>
      <w:r w:rsidRPr="00173520">
        <w:rPr>
          <w:rFonts w:ascii="Arial" w:hAnsi="Arial" w:cs="Arial"/>
          <w:color w:val="000000"/>
        </w:rPr>
        <w:t>. arXiv.</w:t>
      </w:r>
      <w:r w:rsidRPr="00173520">
        <w:rPr>
          <w:rStyle w:val="apple-converted-space"/>
          <w:rFonts w:ascii="Arial" w:hAnsi="Arial" w:cs="Arial"/>
          <w:color w:val="000000"/>
        </w:rPr>
        <w:t> </w:t>
      </w:r>
      <w:hyperlink r:id="rId24" w:history="1">
        <w:r w:rsidRPr="00173520">
          <w:rPr>
            <w:rStyle w:val="Hyperlink"/>
            <w:rFonts w:ascii="Arial" w:hAnsi="Arial" w:cs="Arial"/>
          </w:rPr>
          <w:t>https://doi.org/10.48550/arXiv.1807.05854</w:t>
        </w:r>
      </w:hyperlink>
    </w:p>
    <w:p w14:paraId="72A47C8B" w14:textId="77777777" w:rsidR="00173520" w:rsidRPr="00173520" w:rsidRDefault="00173520" w:rsidP="00173520">
      <w:pPr>
        <w:pStyle w:val="NormalWeb"/>
        <w:rPr>
          <w:rFonts w:ascii="Arial" w:hAnsi="Arial" w:cs="Arial"/>
          <w:color w:val="000000"/>
        </w:rPr>
      </w:pPr>
      <w:r w:rsidRPr="00173520">
        <w:rPr>
          <w:rFonts w:ascii="Arial" w:hAnsi="Arial" w:cs="Arial"/>
          <w:color w:val="000000"/>
        </w:rPr>
        <w:t>Zhao, X., Yu, B., Liu, Y., Yao, S., Lian, T., Chen, L., Yang, C., Chen, Z., &amp; Wu, J. (2018). NPP-VIIRS DNB daily data in natural disaster assessment: Evidence from selected case studies.</w:t>
      </w:r>
      <w:r w:rsidRPr="00173520">
        <w:rPr>
          <w:rStyle w:val="apple-converted-space"/>
          <w:rFonts w:ascii="Arial" w:hAnsi="Arial" w:cs="Arial"/>
          <w:color w:val="000000"/>
        </w:rPr>
        <w:t> </w:t>
      </w:r>
      <w:r w:rsidRPr="00173520">
        <w:rPr>
          <w:rStyle w:val="Emphasis"/>
          <w:rFonts w:ascii="Arial" w:hAnsi="Arial" w:cs="Arial"/>
          <w:color w:val="000000"/>
        </w:rPr>
        <w:t>Remote Sensing, 10</w:t>
      </w:r>
      <w:r w:rsidRPr="00173520">
        <w:rPr>
          <w:rFonts w:ascii="Arial" w:hAnsi="Arial" w:cs="Arial"/>
          <w:color w:val="000000"/>
        </w:rPr>
        <w:t>(10), 1526.</w:t>
      </w:r>
      <w:r w:rsidRPr="00173520">
        <w:rPr>
          <w:rStyle w:val="apple-converted-space"/>
          <w:rFonts w:ascii="Arial" w:hAnsi="Arial" w:cs="Arial"/>
          <w:color w:val="000000"/>
        </w:rPr>
        <w:t> </w:t>
      </w:r>
      <w:hyperlink r:id="rId25" w:history="1">
        <w:r w:rsidRPr="00173520">
          <w:rPr>
            <w:rStyle w:val="Hyperlink"/>
            <w:rFonts w:ascii="Arial" w:hAnsi="Arial" w:cs="Arial"/>
          </w:rPr>
          <w:t>https://doi.org/10.3390/rs10101526</w:t>
        </w:r>
      </w:hyperlink>
    </w:p>
    <w:bookmarkEnd w:id="3"/>
    <w:p w14:paraId="61EE7F44" w14:textId="77777777" w:rsidR="007812F9" w:rsidRPr="00173520" w:rsidRDefault="007812F9" w:rsidP="00D564CF">
      <w:pPr>
        <w:rPr>
          <w:rFonts w:ascii="Arial" w:hAnsi="Arial" w:cs="Arial"/>
        </w:rPr>
      </w:pPr>
    </w:p>
    <w:sectPr w:rsidR="007812F9" w:rsidRPr="00173520" w:rsidSect="00D564C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AAF204" w14:textId="77777777" w:rsidR="002E02BA" w:rsidRDefault="002E02BA" w:rsidP="00D302A8">
      <w:pPr>
        <w:spacing w:after="0"/>
      </w:pPr>
      <w:r>
        <w:separator/>
      </w:r>
    </w:p>
  </w:endnote>
  <w:endnote w:type="continuationSeparator" w:id="0">
    <w:p w14:paraId="79AF43BD" w14:textId="77777777" w:rsidR="002E02BA" w:rsidRDefault="002E02BA" w:rsidP="00D302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15AA7D" w14:textId="77777777" w:rsidR="002E02BA" w:rsidRDefault="002E02BA" w:rsidP="00D302A8">
      <w:pPr>
        <w:spacing w:after="0"/>
      </w:pPr>
      <w:r>
        <w:separator/>
      </w:r>
    </w:p>
  </w:footnote>
  <w:footnote w:type="continuationSeparator" w:id="0">
    <w:p w14:paraId="382BD8A7" w14:textId="77777777" w:rsidR="002E02BA" w:rsidRDefault="002E02BA" w:rsidP="00D302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B8AF6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9EE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0D023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25F2CA7"/>
    <w:multiLevelType w:val="multilevel"/>
    <w:tmpl w:val="7CB2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8738D"/>
    <w:multiLevelType w:val="multilevel"/>
    <w:tmpl w:val="7CF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0A64"/>
    <w:multiLevelType w:val="multilevel"/>
    <w:tmpl w:val="9AB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B73B1"/>
    <w:multiLevelType w:val="multilevel"/>
    <w:tmpl w:val="46A0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647A0"/>
    <w:multiLevelType w:val="multilevel"/>
    <w:tmpl w:val="F73C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65242"/>
    <w:multiLevelType w:val="multilevel"/>
    <w:tmpl w:val="F0D02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D2660"/>
    <w:multiLevelType w:val="multilevel"/>
    <w:tmpl w:val="EC24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D1302"/>
    <w:multiLevelType w:val="multilevel"/>
    <w:tmpl w:val="AA5A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A6D01"/>
    <w:multiLevelType w:val="multilevel"/>
    <w:tmpl w:val="18D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63B6D"/>
    <w:multiLevelType w:val="multilevel"/>
    <w:tmpl w:val="EAD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114CD"/>
    <w:multiLevelType w:val="multilevel"/>
    <w:tmpl w:val="86D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05C53"/>
    <w:multiLevelType w:val="multilevel"/>
    <w:tmpl w:val="3C54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02E08"/>
    <w:multiLevelType w:val="multilevel"/>
    <w:tmpl w:val="2AC4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C5BBA"/>
    <w:multiLevelType w:val="multilevel"/>
    <w:tmpl w:val="7200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9776AB"/>
    <w:multiLevelType w:val="multilevel"/>
    <w:tmpl w:val="8BF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B32B9"/>
    <w:multiLevelType w:val="multilevel"/>
    <w:tmpl w:val="32CE6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A7C61"/>
    <w:multiLevelType w:val="multilevel"/>
    <w:tmpl w:val="C03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54E99"/>
    <w:multiLevelType w:val="multilevel"/>
    <w:tmpl w:val="EC6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A3563"/>
    <w:multiLevelType w:val="multilevel"/>
    <w:tmpl w:val="AA761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E7085"/>
    <w:multiLevelType w:val="multilevel"/>
    <w:tmpl w:val="EE34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853F0"/>
    <w:multiLevelType w:val="multilevel"/>
    <w:tmpl w:val="E45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B5804"/>
    <w:multiLevelType w:val="multilevel"/>
    <w:tmpl w:val="ADBA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26549"/>
    <w:multiLevelType w:val="multilevel"/>
    <w:tmpl w:val="E484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66566"/>
    <w:multiLevelType w:val="multilevel"/>
    <w:tmpl w:val="81E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64B6E"/>
    <w:multiLevelType w:val="multilevel"/>
    <w:tmpl w:val="FB70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3238A"/>
    <w:multiLevelType w:val="multilevel"/>
    <w:tmpl w:val="3D8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147C1"/>
    <w:multiLevelType w:val="multilevel"/>
    <w:tmpl w:val="01D6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269DD"/>
    <w:multiLevelType w:val="multilevel"/>
    <w:tmpl w:val="05B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16A32"/>
    <w:multiLevelType w:val="multilevel"/>
    <w:tmpl w:val="7C28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938B7"/>
    <w:multiLevelType w:val="multilevel"/>
    <w:tmpl w:val="F4C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047B2"/>
    <w:multiLevelType w:val="multilevel"/>
    <w:tmpl w:val="8F4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94C3D"/>
    <w:multiLevelType w:val="multilevel"/>
    <w:tmpl w:val="E91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45D05"/>
    <w:multiLevelType w:val="multilevel"/>
    <w:tmpl w:val="991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E6C1B"/>
    <w:multiLevelType w:val="multilevel"/>
    <w:tmpl w:val="3DA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514A6"/>
    <w:multiLevelType w:val="multilevel"/>
    <w:tmpl w:val="C1E29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6F7CEA"/>
    <w:multiLevelType w:val="multilevel"/>
    <w:tmpl w:val="DA0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720289">
    <w:abstractNumId w:val="0"/>
  </w:num>
  <w:num w:numId="2" w16cid:durableId="1006320086">
    <w:abstractNumId w:val="1"/>
  </w:num>
  <w:num w:numId="3" w16cid:durableId="1191870013">
    <w:abstractNumId w:val="1"/>
  </w:num>
  <w:num w:numId="4" w16cid:durableId="349796030">
    <w:abstractNumId w:val="1"/>
  </w:num>
  <w:num w:numId="5" w16cid:durableId="1313292195">
    <w:abstractNumId w:val="1"/>
  </w:num>
  <w:num w:numId="6" w16cid:durableId="1196576051">
    <w:abstractNumId w:val="1"/>
  </w:num>
  <w:num w:numId="7" w16cid:durableId="1615941904">
    <w:abstractNumId w:val="1"/>
  </w:num>
  <w:num w:numId="8" w16cid:durableId="427233943">
    <w:abstractNumId w:val="1"/>
  </w:num>
  <w:num w:numId="9" w16cid:durableId="1048646914">
    <w:abstractNumId w:val="1"/>
  </w:num>
  <w:num w:numId="10" w16cid:durableId="1706717210">
    <w:abstractNumId w:val="14"/>
  </w:num>
  <w:num w:numId="11" w16cid:durableId="206186874">
    <w:abstractNumId w:val="30"/>
  </w:num>
  <w:num w:numId="12" w16cid:durableId="1475175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2782922">
    <w:abstractNumId w:val="26"/>
  </w:num>
  <w:num w:numId="14" w16cid:durableId="1167937379">
    <w:abstractNumId w:val="33"/>
  </w:num>
  <w:num w:numId="15" w16cid:durableId="2059475499">
    <w:abstractNumId w:val="29"/>
  </w:num>
  <w:num w:numId="16" w16cid:durableId="1854538010">
    <w:abstractNumId w:val="7"/>
  </w:num>
  <w:num w:numId="17" w16cid:durableId="1840079400">
    <w:abstractNumId w:val="37"/>
  </w:num>
  <w:num w:numId="18" w16cid:durableId="957445706">
    <w:abstractNumId w:val="32"/>
  </w:num>
  <w:num w:numId="19" w16cid:durableId="1169447426">
    <w:abstractNumId w:val="22"/>
  </w:num>
  <w:num w:numId="20" w16cid:durableId="1410690096">
    <w:abstractNumId w:val="34"/>
  </w:num>
  <w:num w:numId="21" w16cid:durableId="496268862">
    <w:abstractNumId w:val="28"/>
  </w:num>
  <w:num w:numId="22" w16cid:durableId="2099205302">
    <w:abstractNumId w:val="16"/>
  </w:num>
  <w:num w:numId="23" w16cid:durableId="1357151797">
    <w:abstractNumId w:val="11"/>
  </w:num>
  <w:num w:numId="24" w16cid:durableId="1580215616">
    <w:abstractNumId w:val="9"/>
  </w:num>
  <w:num w:numId="25" w16cid:durableId="193160201">
    <w:abstractNumId w:val="20"/>
  </w:num>
  <w:num w:numId="26" w16cid:durableId="764690971">
    <w:abstractNumId w:val="31"/>
  </w:num>
  <w:num w:numId="27" w16cid:durableId="1805393658">
    <w:abstractNumId w:val="25"/>
  </w:num>
  <w:num w:numId="28" w16cid:durableId="1159887345">
    <w:abstractNumId w:val="12"/>
  </w:num>
  <w:num w:numId="29" w16cid:durableId="532378599">
    <w:abstractNumId w:val="24"/>
  </w:num>
  <w:num w:numId="30" w16cid:durableId="475535953">
    <w:abstractNumId w:val="19"/>
  </w:num>
  <w:num w:numId="31" w16cid:durableId="1393699548">
    <w:abstractNumId w:val="23"/>
  </w:num>
  <w:num w:numId="32" w16cid:durableId="629482587">
    <w:abstractNumId w:val="36"/>
  </w:num>
  <w:num w:numId="33" w16cid:durableId="1856311479">
    <w:abstractNumId w:val="27"/>
  </w:num>
  <w:num w:numId="34" w16cid:durableId="1229925201">
    <w:abstractNumId w:val="35"/>
  </w:num>
  <w:num w:numId="35" w16cid:durableId="1313752114">
    <w:abstractNumId w:val="5"/>
  </w:num>
  <w:num w:numId="36" w16cid:durableId="179587600">
    <w:abstractNumId w:val="6"/>
  </w:num>
  <w:num w:numId="37" w16cid:durableId="224411606">
    <w:abstractNumId w:val="13"/>
  </w:num>
  <w:num w:numId="38" w16cid:durableId="1045562800">
    <w:abstractNumId w:val="21"/>
  </w:num>
  <w:num w:numId="39" w16cid:durableId="311447537">
    <w:abstractNumId w:val="10"/>
  </w:num>
  <w:num w:numId="40" w16cid:durableId="634021475">
    <w:abstractNumId w:val="17"/>
  </w:num>
  <w:num w:numId="41" w16cid:durableId="1379475037">
    <w:abstractNumId w:val="15"/>
  </w:num>
  <w:num w:numId="42" w16cid:durableId="986471435">
    <w:abstractNumId w:val="4"/>
  </w:num>
  <w:num w:numId="43" w16cid:durableId="1228347600">
    <w:abstractNumId w:val="8"/>
  </w:num>
  <w:num w:numId="44" w16cid:durableId="398672119">
    <w:abstractNumId w:val="18"/>
  </w:num>
  <w:num w:numId="45" w16cid:durableId="1286765726">
    <w:abstractNumId w:val="3"/>
  </w:num>
  <w:num w:numId="46" w16cid:durableId="1808162150">
    <w:abstractNumId w:val="3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CE"/>
    <w:rsid w:val="000C20D8"/>
    <w:rsid w:val="00173520"/>
    <w:rsid w:val="00266336"/>
    <w:rsid w:val="00276CDF"/>
    <w:rsid w:val="00293D7B"/>
    <w:rsid w:val="00295C1E"/>
    <w:rsid w:val="002C6AED"/>
    <w:rsid w:val="002E02BA"/>
    <w:rsid w:val="00370BBE"/>
    <w:rsid w:val="003C3A5E"/>
    <w:rsid w:val="005551CE"/>
    <w:rsid w:val="006005F6"/>
    <w:rsid w:val="006F2719"/>
    <w:rsid w:val="007812F9"/>
    <w:rsid w:val="00835CA1"/>
    <w:rsid w:val="008B550A"/>
    <w:rsid w:val="008F0C59"/>
    <w:rsid w:val="00962E25"/>
    <w:rsid w:val="009E34A9"/>
    <w:rsid w:val="00B36E1E"/>
    <w:rsid w:val="00C03D91"/>
    <w:rsid w:val="00C72A6D"/>
    <w:rsid w:val="00CB7C0E"/>
    <w:rsid w:val="00CD012A"/>
    <w:rsid w:val="00CE0AE2"/>
    <w:rsid w:val="00D302A8"/>
    <w:rsid w:val="00D37E7E"/>
    <w:rsid w:val="00D564CF"/>
    <w:rsid w:val="00E45E0A"/>
    <w:rsid w:val="00EB7D2B"/>
    <w:rsid w:val="00FC2C44"/>
    <w:rsid w:val="00FD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9AE1574"/>
  <w15:docId w15:val="{D1A63499-E1CC-3045-8633-3B6191DA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1">
    <w:name w:val="p1"/>
    <w:basedOn w:val="Normal"/>
    <w:rsid w:val="00B36E1E"/>
    <w:pPr>
      <w:spacing w:before="100" w:beforeAutospacing="1" w:after="100" w:afterAutospacing="1"/>
    </w:pPr>
    <w:rPr>
      <w:rFonts w:ascii="Times New Roman" w:eastAsia="Times New Roman" w:hAnsi="Times New Roman" w:cs="Times New Roman"/>
      <w:lang w:val="en-AU" w:eastAsia="en-GB"/>
    </w:rPr>
  </w:style>
  <w:style w:type="character" w:customStyle="1" w:styleId="s1">
    <w:name w:val="s1"/>
    <w:basedOn w:val="DefaultParagraphFont"/>
    <w:rsid w:val="00B36E1E"/>
  </w:style>
  <w:style w:type="paragraph" w:customStyle="1" w:styleId="p3">
    <w:name w:val="p3"/>
    <w:basedOn w:val="Normal"/>
    <w:rsid w:val="00B36E1E"/>
    <w:pPr>
      <w:spacing w:before="100" w:beforeAutospacing="1" w:after="100" w:afterAutospacing="1"/>
    </w:pPr>
    <w:rPr>
      <w:rFonts w:ascii="Times New Roman" w:eastAsia="Times New Roman" w:hAnsi="Times New Roman" w:cs="Times New Roman"/>
      <w:lang w:val="en-AU" w:eastAsia="en-GB"/>
    </w:rPr>
  </w:style>
  <w:style w:type="paragraph" w:customStyle="1" w:styleId="p4">
    <w:name w:val="p4"/>
    <w:basedOn w:val="Normal"/>
    <w:rsid w:val="00B36E1E"/>
    <w:pPr>
      <w:spacing w:before="100" w:beforeAutospacing="1" w:after="100" w:afterAutospacing="1"/>
    </w:pPr>
    <w:rPr>
      <w:rFonts w:ascii="Times New Roman" w:eastAsia="Times New Roman" w:hAnsi="Times New Roman" w:cs="Times New Roman"/>
      <w:lang w:val="en-AU" w:eastAsia="en-GB"/>
    </w:rPr>
  </w:style>
  <w:style w:type="paragraph" w:customStyle="1" w:styleId="p2">
    <w:name w:val="p2"/>
    <w:basedOn w:val="Normal"/>
    <w:rsid w:val="002C6AED"/>
    <w:pPr>
      <w:spacing w:before="100" w:beforeAutospacing="1" w:after="100" w:afterAutospacing="1"/>
    </w:pPr>
    <w:rPr>
      <w:rFonts w:ascii="Times New Roman" w:eastAsia="Times New Roman" w:hAnsi="Times New Roman" w:cs="Times New Roman"/>
      <w:lang w:val="en-AU" w:eastAsia="en-GB"/>
    </w:rPr>
  </w:style>
  <w:style w:type="character" w:styleId="HTMLCode">
    <w:name w:val="HTML Code"/>
    <w:basedOn w:val="DefaultParagraphFont"/>
    <w:uiPriority w:val="99"/>
    <w:unhideWhenUsed/>
    <w:rsid w:val="002C6AED"/>
    <w:rPr>
      <w:rFonts w:ascii="Courier New" w:eastAsia="Times New Roman" w:hAnsi="Courier New" w:cs="Courier New"/>
      <w:sz w:val="20"/>
      <w:szCs w:val="20"/>
    </w:rPr>
  </w:style>
  <w:style w:type="paragraph" w:customStyle="1" w:styleId="p5">
    <w:name w:val="p5"/>
    <w:basedOn w:val="Normal"/>
    <w:rsid w:val="002C6AED"/>
    <w:pPr>
      <w:spacing w:before="100" w:beforeAutospacing="1" w:after="100" w:afterAutospacing="1"/>
    </w:pPr>
    <w:rPr>
      <w:rFonts w:ascii="Times New Roman" w:eastAsia="Times New Roman" w:hAnsi="Times New Roman" w:cs="Times New Roman"/>
      <w:lang w:val="en-AU" w:eastAsia="en-GB"/>
    </w:rPr>
  </w:style>
  <w:style w:type="paragraph" w:customStyle="1" w:styleId="p6">
    <w:name w:val="p6"/>
    <w:basedOn w:val="Normal"/>
    <w:rsid w:val="002C6AED"/>
    <w:pPr>
      <w:spacing w:before="100" w:beforeAutospacing="1" w:after="100" w:afterAutospacing="1"/>
    </w:pPr>
    <w:rPr>
      <w:rFonts w:ascii="Times New Roman" w:eastAsia="Times New Roman" w:hAnsi="Times New Roman" w:cs="Times New Roman"/>
      <w:lang w:val="en-AU" w:eastAsia="en-GB"/>
    </w:rPr>
  </w:style>
  <w:style w:type="paragraph" w:customStyle="1" w:styleId="p7">
    <w:name w:val="p7"/>
    <w:basedOn w:val="Normal"/>
    <w:rsid w:val="002C6AED"/>
    <w:pPr>
      <w:spacing w:before="100" w:beforeAutospacing="1" w:after="100" w:afterAutospacing="1"/>
    </w:pPr>
    <w:rPr>
      <w:rFonts w:ascii="Times New Roman" w:eastAsia="Times New Roman" w:hAnsi="Times New Roman" w:cs="Times New Roman"/>
      <w:lang w:val="en-AU" w:eastAsia="en-GB"/>
    </w:rPr>
  </w:style>
  <w:style w:type="character" w:styleId="FollowedHyperlink">
    <w:name w:val="FollowedHyperlink"/>
    <w:basedOn w:val="DefaultParagraphFont"/>
    <w:rsid w:val="00962E25"/>
    <w:rPr>
      <w:color w:val="96607D" w:themeColor="followedHyperlink"/>
      <w:u w:val="single"/>
    </w:rPr>
  </w:style>
  <w:style w:type="character" w:customStyle="1" w:styleId="apple-converted-space">
    <w:name w:val="apple-converted-space"/>
    <w:basedOn w:val="DefaultParagraphFont"/>
    <w:rsid w:val="00962E25"/>
  </w:style>
  <w:style w:type="character" w:styleId="Emphasis">
    <w:name w:val="Emphasis"/>
    <w:basedOn w:val="DefaultParagraphFont"/>
    <w:uiPriority w:val="20"/>
    <w:qFormat/>
    <w:rsid w:val="009E34A9"/>
    <w:rPr>
      <w:i/>
      <w:iCs/>
    </w:rPr>
  </w:style>
  <w:style w:type="paragraph" w:styleId="NormalWeb">
    <w:name w:val="Normal (Web)"/>
    <w:basedOn w:val="Normal"/>
    <w:uiPriority w:val="99"/>
    <w:unhideWhenUsed/>
    <w:rsid w:val="009E34A9"/>
    <w:pPr>
      <w:spacing w:before="100" w:beforeAutospacing="1" w:after="100" w:afterAutospacing="1"/>
    </w:pPr>
    <w:rPr>
      <w:rFonts w:ascii="Times New Roman" w:eastAsia="Times New Roman" w:hAnsi="Times New Roman" w:cs="Times New Roman"/>
      <w:lang w:val="en-AU" w:eastAsia="en-GB"/>
    </w:rPr>
  </w:style>
  <w:style w:type="paragraph" w:styleId="Header">
    <w:name w:val="header"/>
    <w:basedOn w:val="Normal"/>
    <w:link w:val="HeaderChar"/>
    <w:rsid w:val="00D302A8"/>
    <w:pPr>
      <w:tabs>
        <w:tab w:val="center" w:pos="4513"/>
        <w:tab w:val="right" w:pos="9026"/>
      </w:tabs>
      <w:spacing w:after="0"/>
    </w:pPr>
  </w:style>
  <w:style w:type="character" w:customStyle="1" w:styleId="HeaderChar">
    <w:name w:val="Header Char"/>
    <w:basedOn w:val="DefaultParagraphFont"/>
    <w:link w:val="Header"/>
    <w:rsid w:val="00D302A8"/>
  </w:style>
  <w:style w:type="paragraph" w:styleId="Footer">
    <w:name w:val="footer"/>
    <w:basedOn w:val="Normal"/>
    <w:link w:val="FooterChar"/>
    <w:rsid w:val="00D302A8"/>
    <w:pPr>
      <w:tabs>
        <w:tab w:val="center" w:pos="4513"/>
        <w:tab w:val="right" w:pos="9026"/>
      </w:tabs>
      <w:spacing w:after="0"/>
    </w:pPr>
  </w:style>
  <w:style w:type="character" w:customStyle="1" w:styleId="FooterChar">
    <w:name w:val="Footer Char"/>
    <w:basedOn w:val="DefaultParagraphFont"/>
    <w:link w:val="Footer"/>
    <w:rsid w:val="00D302A8"/>
  </w:style>
  <w:style w:type="character" w:styleId="Strong">
    <w:name w:val="Strong"/>
    <w:basedOn w:val="DefaultParagraphFont"/>
    <w:uiPriority w:val="22"/>
    <w:qFormat/>
    <w:rsid w:val="007812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rse.2023.113818" TargetMode="External"/><Relationship Id="rId13" Type="http://schemas.openxmlformats.org/officeDocument/2006/relationships/hyperlink" Target="https://doi.org/10.48550/arXiv.2109.06913" TargetMode="External"/><Relationship Id="rId18" Type="http://schemas.openxmlformats.org/officeDocument/2006/relationships/hyperlink" Target="https://doi.org/10.1073/pnas.1017031108"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16/j.uclim.2025.102438" TargetMode="External"/><Relationship Id="rId7" Type="http://schemas.openxmlformats.org/officeDocument/2006/relationships/endnotes" Target="endnotes.xml"/><Relationship Id="rId12" Type="http://schemas.openxmlformats.org/officeDocument/2006/relationships/hyperlink" Target="https://doi.org/10.1016/j.rse.2018.03.017" TargetMode="External"/><Relationship Id="rId17" Type="http://schemas.openxmlformats.org/officeDocument/2006/relationships/hyperlink" Target="https://doi.org/10.1016/j.rse.2025.114645" TargetMode="External"/><Relationship Id="rId25" Type="http://schemas.openxmlformats.org/officeDocument/2006/relationships/hyperlink" Target="https://doi.org/10.3390/rs10101526" TargetMode="External"/><Relationship Id="rId2" Type="http://schemas.openxmlformats.org/officeDocument/2006/relationships/numbering" Target="numbering.xml"/><Relationship Id="rId16" Type="http://schemas.openxmlformats.org/officeDocument/2006/relationships/hyperlink" Target="https://doi.org/10.1016/j.apgeog.2020.102222" TargetMode="External"/><Relationship Id="rId20" Type="http://schemas.openxmlformats.org/officeDocument/2006/relationships/hyperlink" Target="https://doi.org/10.1257/aer.102.2.9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371/journal.pone.0218883" TargetMode="External"/><Relationship Id="rId24" Type="http://schemas.openxmlformats.org/officeDocument/2006/relationships/hyperlink" Target="https://doi.org/10.48550/arXiv.1807.05854" TargetMode="External"/><Relationship Id="rId5" Type="http://schemas.openxmlformats.org/officeDocument/2006/relationships/webSettings" Target="webSettings.xml"/><Relationship Id="rId15" Type="http://schemas.openxmlformats.org/officeDocument/2006/relationships/hyperlink" Target="https://doi.org/10.48550/arXiv.2510.05105" TargetMode="External"/><Relationship Id="rId23" Type="http://schemas.openxmlformats.org/officeDocument/2006/relationships/hyperlink" Target="https://doi.org/10.3390/rs5126717" TargetMode="External"/><Relationship Id="rId10" Type="http://schemas.openxmlformats.org/officeDocument/2006/relationships/hyperlink" Target="https://doi.org/10.1109/TGRS.2024.3512549" TargetMode="External"/><Relationship Id="rId19" Type="http://schemas.openxmlformats.org/officeDocument/2006/relationships/hyperlink" Target="https://doi.org/10.3390/rs9030286" TargetMode="External"/><Relationship Id="rId4" Type="http://schemas.openxmlformats.org/officeDocument/2006/relationships/settings" Target="settings.xml"/><Relationship Id="rId9" Type="http://schemas.openxmlformats.org/officeDocument/2006/relationships/hyperlink" Target="https://doi.org/10.1088/2634-4505/ade474" TargetMode="External"/><Relationship Id="rId14" Type="http://schemas.openxmlformats.org/officeDocument/2006/relationships/hyperlink" Target="https://doi.org/10.48550/arXiv.2410.22150" TargetMode="External"/><Relationship Id="rId22" Type="http://schemas.openxmlformats.org/officeDocument/2006/relationships/hyperlink" Target="https://doi.org/10.1016/j.jenvman.2021.11277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61EAA-C63D-CC44-8B8A-B4F8C194BEA3}">
  <ds:schemaRefs>
    <ds:schemaRef ds:uri="http://schemas.openxmlformats.org/officeDocument/2006/bibliography"/>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239</TotalTime>
  <Pages>27</Pages>
  <Words>10082</Words>
  <Characters>57471</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Rene Principe</dc:creator>
  <cp:keywords/>
  <cp:lastModifiedBy>Rene Jr Principe</cp:lastModifiedBy>
  <cp:revision>14</cp:revision>
  <dcterms:created xsi:type="dcterms:W3CDTF">2026-07-13T06:59:00Z</dcterms:created>
  <dcterms:modified xsi:type="dcterms:W3CDTF">2026-07-14T05:53:00Z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823817b12bfc3a797f7a1dc756705d163a002752e5c8b157df89b7cd01a44115</vt:lpwstr>
  </property>
</Properties>
</file>