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6A474C" w14:textId="77777777" w:rsidR="00EA222E" w:rsidRPr="003B65A2" w:rsidRDefault="00EA222E" w:rsidP="00EA222E">
      <w:pPr>
        <w:ind w:left="720" w:hanging="360"/>
        <w:rPr>
          <w:rFonts w:ascii="Arial" w:hAnsi="Arial" w:cs="Arial"/>
          <w:b/>
          <w:bCs/>
          <w:color w:val="000000" w:themeColor="text1"/>
          <w:sz w:val="20"/>
          <w:szCs w:val="20"/>
        </w:rPr>
      </w:pPr>
      <w:r w:rsidRPr="003B65A2">
        <w:rPr>
          <w:rFonts w:ascii="Arial" w:hAnsi="Arial" w:cs="Arial"/>
          <w:b/>
          <w:bCs/>
          <w:color w:val="000000" w:themeColor="text1"/>
          <w:sz w:val="20"/>
          <w:szCs w:val="20"/>
        </w:rPr>
        <w:t>References:</w:t>
      </w:r>
    </w:p>
    <w:p w14:paraId="503E266B" w14:textId="77777777" w:rsidR="00EA222E" w:rsidRPr="003B65A2" w:rsidRDefault="00EA222E">
      <w:pPr>
        <w:pStyle w:val="NormalWeb"/>
        <w:numPr>
          <w:ilvl w:val="0"/>
          <w:numId w:val="1"/>
        </w:numPr>
        <w:rPr>
          <w:rFonts w:ascii="Arial" w:hAnsi="Arial" w:cs="Arial"/>
          <w:color w:val="000000" w:themeColor="text1"/>
          <w:sz w:val="20"/>
          <w:szCs w:val="20"/>
        </w:rPr>
      </w:pPr>
      <w:r w:rsidRPr="003B65A2">
        <w:rPr>
          <w:rFonts w:ascii="Arial" w:hAnsi="Arial" w:cs="Arial"/>
          <w:color w:val="000000" w:themeColor="text1"/>
          <w:sz w:val="20"/>
          <w:szCs w:val="20"/>
        </w:rPr>
        <w:t>Jia et al. (2023) on anisotropy of nightlight measurements</w:t>
      </w:r>
    </w:p>
    <w:p w14:paraId="7B54C1B7" w14:textId="77777777" w:rsidR="00EA222E" w:rsidRPr="003B65A2" w:rsidRDefault="00EA222E">
      <w:pPr>
        <w:pStyle w:val="NormalWeb"/>
        <w:numPr>
          <w:ilvl w:val="0"/>
          <w:numId w:val="1"/>
        </w:numPr>
        <w:rPr>
          <w:rFonts w:ascii="Arial" w:hAnsi="Arial" w:cs="Arial"/>
          <w:color w:val="000000" w:themeColor="text1"/>
          <w:sz w:val="20"/>
          <w:szCs w:val="20"/>
        </w:rPr>
      </w:pPr>
      <w:r w:rsidRPr="003B65A2">
        <w:rPr>
          <w:rFonts w:ascii="Arial" w:hAnsi="Arial" w:cs="Arial"/>
          <w:color w:val="000000" w:themeColor="text1"/>
          <w:sz w:val="20"/>
          <w:szCs w:val="20"/>
        </w:rPr>
        <w:t>Hung et al. (2021) Changes in night sky brightness after a countywide LED retrofit (</w:t>
      </w:r>
      <w:proofErr w:type="spellStart"/>
      <w:r w:rsidRPr="003B65A2">
        <w:rPr>
          <w:rFonts w:ascii="Arial" w:hAnsi="Arial" w:cs="Arial"/>
          <w:color w:val="000000" w:themeColor="text1"/>
          <w:sz w:val="20"/>
          <w:szCs w:val="20"/>
        </w:rPr>
        <w:t>ArXiv</w:t>
      </w:r>
      <w:proofErr w:type="spellEnd"/>
      <w:r w:rsidRPr="003B65A2">
        <w:rPr>
          <w:rFonts w:ascii="Arial" w:hAnsi="Arial" w:cs="Arial"/>
          <w:color w:val="000000" w:themeColor="text1"/>
          <w:sz w:val="20"/>
          <w:szCs w:val="20"/>
        </w:rPr>
        <w:t>)</w:t>
      </w:r>
    </w:p>
    <w:p w14:paraId="7D988A6E" w14:textId="77777777" w:rsidR="00EA222E" w:rsidRPr="003B65A2" w:rsidRDefault="00EA222E">
      <w:pPr>
        <w:pStyle w:val="NormalWeb"/>
        <w:numPr>
          <w:ilvl w:val="0"/>
          <w:numId w:val="1"/>
        </w:numPr>
        <w:rPr>
          <w:rFonts w:ascii="Arial" w:hAnsi="Arial" w:cs="Arial"/>
          <w:color w:val="000000" w:themeColor="text1"/>
          <w:sz w:val="20"/>
          <w:szCs w:val="20"/>
        </w:rPr>
      </w:pPr>
      <w:r w:rsidRPr="003B65A2">
        <w:rPr>
          <w:rFonts w:ascii="Arial" w:hAnsi="Arial" w:cs="Arial"/>
          <w:color w:val="000000" w:themeColor="text1"/>
          <w:sz w:val="20"/>
          <w:szCs w:val="20"/>
        </w:rPr>
        <w:t>Gibson et al. (2024) Are Disaster Impact Estimates Distorted by Errors in Popular Night-Time Lights Data?</w:t>
      </w:r>
    </w:p>
    <w:p w14:paraId="60038F07" w14:textId="77777777" w:rsidR="00EA222E" w:rsidRPr="003B65A2" w:rsidRDefault="00EA222E">
      <w:pPr>
        <w:numPr>
          <w:ilvl w:val="0"/>
          <w:numId w:val="1"/>
        </w:numPr>
        <w:spacing w:after="0" w:line="240" w:lineRule="auto"/>
        <w:rPr>
          <w:rFonts w:ascii="Arial" w:eastAsia="Times New Roman" w:hAnsi="Arial" w:cs="Arial"/>
          <w:color w:val="000000" w:themeColor="text1"/>
          <w:kern w:val="0"/>
          <w:sz w:val="20"/>
          <w:szCs w:val="20"/>
          <w:highlight w:val="yellow"/>
          <w:lang w:eastAsia="en-GB"/>
          <w14:ligatures w14:val="none"/>
        </w:rPr>
      </w:pPr>
      <w:proofErr w:type="spellStart"/>
      <w:r w:rsidRPr="003B65A2">
        <w:rPr>
          <w:rFonts w:ascii="Arial" w:eastAsia="Times New Roman" w:hAnsi="Arial" w:cs="Arial"/>
          <w:color w:val="000000" w:themeColor="text1"/>
          <w:kern w:val="0"/>
          <w:sz w:val="20"/>
          <w:szCs w:val="20"/>
          <w:highlight w:val="yellow"/>
          <w:bdr w:val="none" w:sz="0" w:space="0" w:color="auto" w:frame="1"/>
          <w:lang w:eastAsia="en-GB"/>
          <w14:ligatures w14:val="none"/>
        </w:rPr>
        <w:t>Ghaffarian</w:t>
      </w:r>
      <w:proofErr w:type="spellEnd"/>
      <w:r w:rsidRPr="003B65A2">
        <w:rPr>
          <w:rFonts w:ascii="Arial" w:eastAsia="Times New Roman" w:hAnsi="Arial" w:cs="Arial"/>
          <w:color w:val="000000" w:themeColor="text1"/>
          <w:kern w:val="0"/>
          <w:sz w:val="20"/>
          <w:szCs w:val="20"/>
          <w:highlight w:val="yellow"/>
          <w:bdr w:val="none" w:sz="0" w:space="0" w:color="auto" w:frame="1"/>
          <w:lang w:eastAsia="en-GB"/>
          <w14:ligatures w14:val="none"/>
        </w:rPr>
        <w:t>, S., Roy, D., Filatova, T. &amp; Kerle, N. (2021) Agent-based modelling of post-disaster recovery with remote sensing data. Computers, Environment and Urban Systems, 60, 15 p.</w:t>
      </w:r>
    </w:p>
    <w:p w14:paraId="0392DD22" w14:textId="77777777" w:rsidR="00EA222E" w:rsidRPr="003B65A2" w:rsidRDefault="00EA222E">
      <w:pPr>
        <w:numPr>
          <w:ilvl w:val="0"/>
          <w:numId w:val="1"/>
        </w:numPr>
        <w:spacing w:after="0" w:line="240" w:lineRule="auto"/>
        <w:rPr>
          <w:rFonts w:ascii="Arial" w:eastAsia="Times New Roman" w:hAnsi="Arial" w:cs="Arial"/>
          <w:color w:val="000000" w:themeColor="text1"/>
          <w:kern w:val="0"/>
          <w:sz w:val="20"/>
          <w:szCs w:val="20"/>
          <w:highlight w:val="yellow"/>
          <w:lang w:eastAsia="en-GB"/>
          <w14:ligatures w14:val="none"/>
        </w:rPr>
      </w:pPr>
      <w:proofErr w:type="spellStart"/>
      <w:r w:rsidRPr="003B65A2">
        <w:rPr>
          <w:rFonts w:ascii="Arial" w:eastAsia="Times New Roman" w:hAnsi="Arial" w:cs="Arial"/>
          <w:color w:val="000000" w:themeColor="text1"/>
          <w:kern w:val="0"/>
          <w:sz w:val="20"/>
          <w:szCs w:val="20"/>
          <w:highlight w:val="yellow"/>
          <w:bdr w:val="none" w:sz="0" w:space="0" w:color="auto" w:frame="1"/>
          <w:lang w:eastAsia="en-GB"/>
          <w14:ligatures w14:val="none"/>
        </w:rPr>
        <w:t>Ghaffarian</w:t>
      </w:r>
      <w:proofErr w:type="spellEnd"/>
      <w:r w:rsidRPr="003B65A2">
        <w:rPr>
          <w:rFonts w:ascii="Arial" w:eastAsia="Times New Roman" w:hAnsi="Arial" w:cs="Arial"/>
          <w:color w:val="000000" w:themeColor="text1"/>
          <w:kern w:val="0"/>
          <w:sz w:val="20"/>
          <w:szCs w:val="20"/>
          <w:highlight w:val="yellow"/>
          <w:bdr w:val="none" w:sz="0" w:space="0" w:color="auto" w:frame="1"/>
          <w:lang w:eastAsia="en-GB"/>
          <w14:ligatures w14:val="none"/>
        </w:rPr>
        <w:t xml:space="preserve">, S., </w:t>
      </w:r>
      <w:proofErr w:type="spellStart"/>
      <w:r w:rsidRPr="003B65A2">
        <w:rPr>
          <w:rFonts w:ascii="Arial" w:eastAsia="Times New Roman" w:hAnsi="Arial" w:cs="Arial"/>
          <w:color w:val="000000" w:themeColor="text1"/>
          <w:kern w:val="0"/>
          <w:sz w:val="20"/>
          <w:szCs w:val="20"/>
          <w:highlight w:val="yellow"/>
          <w:bdr w:val="none" w:sz="0" w:space="0" w:color="auto" w:frame="1"/>
          <w:lang w:eastAsia="en-GB"/>
          <w14:ligatures w14:val="none"/>
        </w:rPr>
        <w:t>Farhadabad</w:t>
      </w:r>
      <w:proofErr w:type="spellEnd"/>
      <w:r w:rsidRPr="003B65A2">
        <w:rPr>
          <w:rFonts w:ascii="Arial" w:eastAsia="Times New Roman" w:hAnsi="Arial" w:cs="Arial"/>
          <w:color w:val="000000" w:themeColor="text1"/>
          <w:kern w:val="0"/>
          <w:sz w:val="20"/>
          <w:szCs w:val="20"/>
          <w:highlight w:val="yellow"/>
          <w:bdr w:val="none" w:sz="0" w:space="0" w:color="auto" w:frame="1"/>
          <w:lang w:eastAsia="en-GB"/>
          <w14:ligatures w14:val="none"/>
        </w:rPr>
        <w:t>, A.R. &amp; Kerle, N. (2020) Post-disaster recovery monitoring with Google Earth Engine. International Journal of Geo-Information, 10(13), 4574.</w:t>
      </w:r>
    </w:p>
    <w:p w14:paraId="343A0FCF" w14:textId="77777777" w:rsidR="00EA222E" w:rsidRPr="003B65A2" w:rsidRDefault="00EA222E">
      <w:pPr>
        <w:numPr>
          <w:ilvl w:val="0"/>
          <w:numId w:val="1"/>
        </w:numPr>
        <w:spacing w:after="0" w:line="240" w:lineRule="auto"/>
        <w:rPr>
          <w:rFonts w:ascii="Arial" w:eastAsia="Times New Roman" w:hAnsi="Arial" w:cs="Arial"/>
          <w:color w:val="000000" w:themeColor="text1"/>
          <w:kern w:val="0"/>
          <w:sz w:val="20"/>
          <w:szCs w:val="20"/>
          <w:highlight w:val="yellow"/>
          <w:lang w:eastAsia="en-GB"/>
          <w14:ligatures w14:val="none"/>
        </w:rPr>
      </w:pPr>
      <w:proofErr w:type="spellStart"/>
      <w:r w:rsidRPr="003B65A2">
        <w:rPr>
          <w:rFonts w:ascii="Arial" w:eastAsia="Times New Roman" w:hAnsi="Arial" w:cs="Arial"/>
          <w:color w:val="000000" w:themeColor="text1"/>
          <w:kern w:val="0"/>
          <w:sz w:val="20"/>
          <w:szCs w:val="20"/>
          <w:highlight w:val="yellow"/>
          <w:bdr w:val="none" w:sz="0" w:space="0" w:color="auto" w:frame="1"/>
          <w:lang w:eastAsia="en-GB"/>
          <w14:ligatures w14:val="none"/>
        </w:rPr>
        <w:t>Ghaffarian</w:t>
      </w:r>
      <w:proofErr w:type="spellEnd"/>
      <w:r w:rsidRPr="003B65A2">
        <w:rPr>
          <w:rFonts w:ascii="Arial" w:eastAsia="Times New Roman" w:hAnsi="Arial" w:cs="Arial"/>
          <w:color w:val="000000" w:themeColor="text1"/>
          <w:kern w:val="0"/>
          <w:sz w:val="20"/>
          <w:szCs w:val="20"/>
          <w:highlight w:val="yellow"/>
          <w:bdr w:val="none" w:sz="0" w:space="0" w:color="auto" w:frame="1"/>
          <w:lang w:eastAsia="en-GB"/>
          <w14:ligatures w14:val="none"/>
        </w:rPr>
        <w:t xml:space="preserve">, S., Kerle, N., </w:t>
      </w:r>
      <w:proofErr w:type="spellStart"/>
      <w:r w:rsidRPr="003B65A2">
        <w:rPr>
          <w:rFonts w:ascii="Arial" w:eastAsia="Times New Roman" w:hAnsi="Arial" w:cs="Arial"/>
          <w:color w:val="000000" w:themeColor="text1"/>
          <w:kern w:val="0"/>
          <w:sz w:val="20"/>
          <w:szCs w:val="20"/>
          <w:highlight w:val="yellow"/>
          <w:bdr w:val="none" w:sz="0" w:space="0" w:color="auto" w:frame="1"/>
          <w:lang w:eastAsia="en-GB"/>
          <w14:ligatures w14:val="none"/>
        </w:rPr>
        <w:t>Pasolli</w:t>
      </w:r>
      <w:proofErr w:type="spellEnd"/>
      <w:r w:rsidRPr="003B65A2">
        <w:rPr>
          <w:rFonts w:ascii="Arial" w:eastAsia="Times New Roman" w:hAnsi="Arial" w:cs="Arial"/>
          <w:color w:val="000000" w:themeColor="text1"/>
          <w:kern w:val="0"/>
          <w:sz w:val="20"/>
          <w:szCs w:val="20"/>
          <w:highlight w:val="yellow"/>
          <w:bdr w:val="none" w:sz="0" w:space="0" w:color="auto" w:frame="1"/>
          <w:lang w:eastAsia="en-GB"/>
          <w14:ligatures w14:val="none"/>
        </w:rPr>
        <w:t xml:space="preserve">, E. &amp; Jokar Arsanjani, J. (2019) Post-disaster building database updating using automated deep learning with pre-disaster </w:t>
      </w:r>
      <w:proofErr w:type="spellStart"/>
      <w:r w:rsidRPr="003B65A2">
        <w:rPr>
          <w:rFonts w:ascii="Arial" w:eastAsia="Times New Roman" w:hAnsi="Arial" w:cs="Arial"/>
          <w:color w:val="000000" w:themeColor="text1"/>
          <w:kern w:val="0"/>
          <w:sz w:val="20"/>
          <w:szCs w:val="20"/>
          <w:highlight w:val="yellow"/>
          <w:bdr w:val="none" w:sz="0" w:space="0" w:color="auto" w:frame="1"/>
          <w:lang w:eastAsia="en-GB"/>
          <w14:ligatures w14:val="none"/>
        </w:rPr>
        <w:t>Openstreetmap</w:t>
      </w:r>
      <w:proofErr w:type="spellEnd"/>
      <w:r w:rsidRPr="003B65A2">
        <w:rPr>
          <w:rFonts w:ascii="Arial" w:eastAsia="Times New Roman" w:hAnsi="Arial" w:cs="Arial"/>
          <w:color w:val="000000" w:themeColor="text1"/>
          <w:kern w:val="0"/>
          <w:sz w:val="20"/>
          <w:szCs w:val="20"/>
          <w:highlight w:val="yellow"/>
          <w:bdr w:val="none" w:sz="0" w:space="0" w:color="auto" w:frame="1"/>
          <w:lang w:eastAsia="en-GB"/>
          <w14:ligatures w14:val="none"/>
        </w:rPr>
        <w:t xml:space="preserve"> and multi-temporal satellite data. Remote Sensing, 11(20), 2427.</w:t>
      </w:r>
    </w:p>
    <w:p w14:paraId="79584627" w14:textId="4B1D0238" w:rsidR="00EA222E" w:rsidRDefault="00EA222E">
      <w:pPr>
        <w:numPr>
          <w:ilvl w:val="0"/>
          <w:numId w:val="1"/>
        </w:numPr>
        <w:spacing w:after="0" w:line="240" w:lineRule="auto"/>
        <w:rPr>
          <w:rFonts w:ascii="Arial" w:eastAsia="Times New Roman" w:hAnsi="Arial" w:cs="Arial"/>
          <w:color w:val="000000" w:themeColor="text1"/>
          <w:kern w:val="0"/>
          <w:sz w:val="20"/>
          <w:szCs w:val="20"/>
          <w:highlight w:val="yellow"/>
          <w:lang w:eastAsia="en-GB"/>
          <w14:ligatures w14:val="none"/>
        </w:rPr>
      </w:pPr>
      <w:proofErr w:type="spellStart"/>
      <w:r w:rsidRPr="003B65A2">
        <w:rPr>
          <w:rFonts w:ascii="Arial" w:eastAsia="Times New Roman" w:hAnsi="Arial" w:cs="Arial"/>
          <w:color w:val="000000" w:themeColor="text1"/>
          <w:kern w:val="0"/>
          <w:sz w:val="20"/>
          <w:szCs w:val="20"/>
          <w:highlight w:val="yellow"/>
          <w:bdr w:val="none" w:sz="0" w:space="0" w:color="auto" w:frame="1"/>
          <w:lang w:eastAsia="en-GB"/>
          <w14:ligatures w14:val="none"/>
        </w:rPr>
        <w:t>Ghaffarian</w:t>
      </w:r>
      <w:proofErr w:type="spellEnd"/>
      <w:r w:rsidRPr="003B65A2">
        <w:rPr>
          <w:rFonts w:ascii="Arial" w:eastAsia="Times New Roman" w:hAnsi="Arial" w:cs="Arial"/>
          <w:color w:val="000000" w:themeColor="text1"/>
          <w:kern w:val="0"/>
          <w:sz w:val="20"/>
          <w:szCs w:val="20"/>
          <w:highlight w:val="yellow"/>
          <w:bdr w:val="none" w:sz="0" w:space="0" w:color="auto" w:frame="1"/>
          <w:lang w:eastAsia="en-GB"/>
          <w14:ligatures w14:val="none"/>
        </w:rPr>
        <w:t>, S. &amp; Kerle, N. (2019) Towards post-disaster debris identification for precise damage and recovery assessments from UAV and satellite images. ISPRS Archives of the Photogrammetry, Remote Sensing and Spatial Information Sciences, 42(2/W13), 7 p.</w:t>
      </w:r>
    </w:p>
    <w:p w14:paraId="493267A9" w14:textId="77777777" w:rsidR="00317F5C" w:rsidRPr="00317F5C" w:rsidRDefault="00317F5C" w:rsidP="00317F5C">
      <w:pPr>
        <w:spacing w:after="0" w:line="240" w:lineRule="auto"/>
        <w:ind w:left="720"/>
        <w:rPr>
          <w:rFonts w:ascii="Arial" w:eastAsia="Times New Roman" w:hAnsi="Arial" w:cs="Arial"/>
          <w:color w:val="000000" w:themeColor="text1"/>
          <w:kern w:val="0"/>
          <w:sz w:val="20"/>
          <w:szCs w:val="20"/>
          <w:highlight w:val="yellow"/>
          <w:lang w:eastAsia="en-GB"/>
          <w14:ligatures w14:val="none"/>
        </w:rPr>
      </w:pPr>
    </w:p>
    <w:p w14:paraId="02CC925B" w14:textId="77777777" w:rsidR="00EA222E" w:rsidRPr="003B65A2" w:rsidRDefault="00EA222E" w:rsidP="00A40AAE">
      <w:pPr>
        <w:pStyle w:val="Heading1"/>
        <w:spacing w:before="0" w:after="0"/>
        <w:rPr>
          <w:rFonts w:ascii="Arial" w:hAnsi="Arial" w:cs="Arial"/>
          <w:color w:val="000000" w:themeColor="text1"/>
          <w:sz w:val="20"/>
          <w:szCs w:val="20"/>
          <w:lang w:val="en-US"/>
        </w:rPr>
      </w:pPr>
    </w:p>
    <w:p w14:paraId="1FF070FC" w14:textId="79D2915F" w:rsidR="00A40AAE" w:rsidRPr="003B65A2" w:rsidRDefault="00A40AAE">
      <w:pPr>
        <w:pStyle w:val="Heading1"/>
        <w:numPr>
          <w:ilvl w:val="0"/>
          <w:numId w:val="15"/>
        </w:numPr>
        <w:spacing w:before="0" w:after="0" w:line="276" w:lineRule="auto"/>
        <w:rPr>
          <w:rFonts w:ascii="Arial" w:hAnsi="Arial" w:cs="Arial"/>
          <w:color w:val="000000" w:themeColor="text1"/>
          <w:sz w:val="20"/>
          <w:szCs w:val="20"/>
          <w:lang w:val="en-US"/>
        </w:rPr>
      </w:pPr>
      <w:r w:rsidRPr="003B65A2">
        <w:rPr>
          <w:rFonts w:ascii="Arial" w:hAnsi="Arial" w:cs="Arial"/>
          <w:color w:val="000000" w:themeColor="text1"/>
          <w:sz w:val="20"/>
          <w:szCs w:val="20"/>
          <w:lang w:val="en-US"/>
        </w:rPr>
        <w:t xml:space="preserve">Gibson, J., Jiang, Y., Zhang, X., &amp; Boe-Gibson, G. (2024). </w:t>
      </w:r>
      <w:r w:rsidRPr="003B65A2">
        <w:rPr>
          <w:rFonts w:ascii="Arial" w:hAnsi="Arial" w:cs="Arial"/>
          <w:b/>
          <w:bCs/>
          <w:color w:val="000000" w:themeColor="text1"/>
          <w:sz w:val="20"/>
          <w:szCs w:val="20"/>
          <w:lang w:val="en-US"/>
        </w:rPr>
        <w:t>Are Disaster Impact Estimates Distorted by Errors in Popular Night-Time Lights Data</w:t>
      </w:r>
      <w:r w:rsidRPr="003B65A2">
        <w:rPr>
          <w:rFonts w:ascii="Arial" w:hAnsi="Arial" w:cs="Arial"/>
          <w:color w:val="000000" w:themeColor="text1"/>
          <w:sz w:val="20"/>
          <w:szCs w:val="20"/>
          <w:lang w:val="en-US"/>
        </w:rPr>
        <w:t xml:space="preserve">? </w:t>
      </w:r>
      <w:r w:rsidRPr="003B65A2">
        <w:rPr>
          <w:rFonts w:ascii="Arial" w:hAnsi="Arial" w:cs="Arial"/>
          <w:i/>
          <w:iCs/>
          <w:color w:val="000000" w:themeColor="text1"/>
          <w:sz w:val="20"/>
          <w:szCs w:val="20"/>
          <w:lang w:val="en-US"/>
        </w:rPr>
        <w:t>Economics of Disasters and Climate Change, 8</w:t>
      </w:r>
      <w:r w:rsidRPr="003B65A2">
        <w:rPr>
          <w:rFonts w:ascii="Arial" w:hAnsi="Arial" w:cs="Arial"/>
          <w:color w:val="000000" w:themeColor="text1"/>
          <w:sz w:val="20"/>
          <w:szCs w:val="20"/>
          <w:lang w:val="en-US"/>
        </w:rPr>
        <w:t>, 391–416</w:t>
      </w:r>
      <w:r w:rsidR="005F7C7E" w:rsidRPr="003B65A2">
        <w:rPr>
          <w:rFonts w:ascii="Arial" w:hAnsi="Arial" w:cs="Arial"/>
          <w:color w:val="000000" w:themeColor="text1"/>
          <w:sz w:val="20"/>
          <w:szCs w:val="20"/>
          <w:lang w:val="en-US"/>
        </w:rPr>
        <w:t xml:space="preserve">, </w:t>
      </w:r>
      <w:hyperlink r:id="rId8" w:history="1">
        <w:r w:rsidR="005F7C7E" w:rsidRPr="003B65A2">
          <w:rPr>
            <w:rStyle w:val="Hyperlink"/>
            <w:rFonts w:ascii="Arial" w:hAnsi="Arial" w:cs="Arial"/>
            <w:sz w:val="20"/>
            <w:szCs w:val="20"/>
            <w:lang w:val="en-US"/>
          </w:rPr>
          <w:t>https://doi.org/10.1007/s41885-024-00152-6</w:t>
        </w:r>
      </w:hyperlink>
      <w:r w:rsidR="005F7C7E" w:rsidRPr="003B65A2">
        <w:rPr>
          <w:rFonts w:ascii="Arial" w:hAnsi="Arial" w:cs="Arial"/>
          <w:color w:val="000000" w:themeColor="text1"/>
          <w:sz w:val="20"/>
          <w:szCs w:val="20"/>
          <w:lang w:val="en-US"/>
        </w:rPr>
        <w:t xml:space="preserve"> </w:t>
      </w:r>
      <w:r w:rsidR="00EA222E" w:rsidRPr="003B65A2">
        <w:rPr>
          <w:rFonts w:ascii="Arial" w:hAnsi="Arial" w:cs="Arial"/>
          <w:sz w:val="20"/>
          <w:szCs w:val="20"/>
          <w:lang w:val="en-US"/>
        </w:rPr>
        <w:br/>
      </w:r>
    </w:p>
    <w:p w14:paraId="27FC9317" w14:textId="77777777" w:rsidR="00A40AAE" w:rsidRPr="003B65A2" w:rsidRDefault="00A40AAE" w:rsidP="005F7C7E">
      <w:pPr>
        <w:autoSpaceDE w:val="0"/>
        <w:autoSpaceDN w:val="0"/>
        <w:adjustRightInd w:val="0"/>
        <w:spacing w:after="0" w:line="276" w:lineRule="auto"/>
        <w:ind w:left="1080" w:right="-720"/>
        <w:rPr>
          <w:rFonts w:ascii="Arial" w:hAnsi="Arial" w:cs="Arial"/>
          <w:kern w:val="0"/>
          <w:sz w:val="20"/>
          <w:szCs w:val="20"/>
          <w:lang w:val="en-US"/>
        </w:rPr>
      </w:pPr>
      <w:r w:rsidRPr="003B65A2">
        <w:rPr>
          <w:rFonts w:ascii="Arial" w:hAnsi="Arial" w:cs="Arial"/>
          <w:kern w:val="0"/>
          <w:sz w:val="20"/>
          <w:szCs w:val="20"/>
          <w:lang w:val="en-US"/>
        </w:rPr>
        <w:t>1. Purpose and Context</w:t>
      </w:r>
    </w:p>
    <w:p w14:paraId="1FA393A7" w14:textId="484C6B04" w:rsidR="00A40AAE" w:rsidRPr="003B65A2" w:rsidRDefault="00A40AAE">
      <w:pPr>
        <w:pStyle w:val="ListParagraph"/>
        <w:numPr>
          <w:ilvl w:val="0"/>
          <w:numId w:val="4"/>
        </w:numPr>
        <w:autoSpaceDE w:val="0"/>
        <w:autoSpaceDN w:val="0"/>
        <w:adjustRightInd w:val="0"/>
        <w:spacing w:after="0" w:line="276" w:lineRule="auto"/>
        <w:ind w:left="1800" w:right="-720"/>
        <w:rPr>
          <w:rFonts w:ascii="Arial" w:hAnsi="Arial" w:cs="Arial"/>
          <w:kern w:val="0"/>
          <w:sz w:val="20"/>
          <w:szCs w:val="20"/>
          <w:lang w:val="en-US"/>
        </w:rPr>
      </w:pPr>
      <w:r w:rsidRPr="003B65A2">
        <w:rPr>
          <w:rFonts w:ascii="Arial" w:hAnsi="Arial" w:cs="Arial"/>
          <w:kern w:val="0"/>
          <w:sz w:val="20"/>
          <w:szCs w:val="20"/>
          <w:lang w:val="en-US"/>
        </w:rPr>
        <w:t>The document investigates whether disaster impact estimates are distorted by errors in popular night-time lights data, particularly the older DMSP data, compared to the newer VIIRS data.</w:t>
      </w:r>
    </w:p>
    <w:p w14:paraId="61642D48" w14:textId="15F07003" w:rsidR="00A40AAE" w:rsidRPr="003B65A2" w:rsidRDefault="00A40AAE">
      <w:pPr>
        <w:pStyle w:val="ListParagraph"/>
        <w:numPr>
          <w:ilvl w:val="0"/>
          <w:numId w:val="4"/>
        </w:numPr>
        <w:autoSpaceDE w:val="0"/>
        <w:autoSpaceDN w:val="0"/>
        <w:adjustRightInd w:val="0"/>
        <w:spacing w:after="0" w:line="276" w:lineRule="auto"/>
        <w:ind w:left="1800" w:right="-720"/>
        <w:rPr>
          <w:rFonts w:ascii="Arial" w:hAnsi="Arial" w:cs="Arial"/>
          <w:kern w:val="0"/>
          <w:sz w:val="20"/>
          <w:szCs w:val="20"/>
          <w:lang w:val="en-US"/>
        </w:rPr>
      </w:pPr>
      <w:r w:rsidRPr="003B65A2">
        <w:rPr>
          <w:rFonts w:ascii="Arial" w:hAnsi="Arial" w:cs="Arial"/>
          <w:kern w:val="0"/>
          <w:sz w:val="20"/>
          <w:szCs w:val="20"/>
          <w:lang w:val="en-US"/>
        </w:rPr>
        <w:t>The case study focuses on typhoon damages in the Philippines from 2012–2019.</w:t>
      </w:r>
    </w:p>
    <w:p w14:paraId="5B2A0529" w14:textId="77777777" w:rsidR="00A40AAE" w:rsidRPr="003B65A2" w:rsidRDefault="00A40AAE" w:rsidP="005F7C7E">
      <w:pPr>
        <w:autoSpaceDE w:val="0"/>
        <w:autoSpaceDN w:val="0"/>
        <w:adjustRightInd w:val="0"/>
        <w:spacing w:after="0" w:line="276" w:lineRule="auto"/>
        <w:ind w:left="1080" w:right="-720"/>
        <w:rPr>
          <w:rFonts w:ascii="Arial" w:hAnsi="Arial" w:cs="Arial"/>
          <w:kern w:val="0"/>
          <w:sz w:val="20"/>
          <w:szCs w:val="20"/>
          <w:lang w:val="en-US"/>
        </w:rPr>
      </w:pPr>
      <w:r w:rsidRPr="003B65A2">
        <w:rPr>
          <w:rFonts w:ascii="Arial" w:hAnsi="Arial" w:cs="Arial"/>
          <w:kern w:val="0"/>
          <w:sz w:val="20"/>
          <w:szCs w:val="20"/>
          <w:lang w:val="en-US"/>
        </w:rPr>
        <w:t>2. Main Findings</w:t>
      </w:r>
    </w:p>
    <w:p w14:paraId="7614E636" w14:textId="30212743" w:rsidR="00A40AAE" w:rsidRPr="003B65A2" w:rsidRDefault="00A40AAE">
      <w:pPr>
        <w:pStyle w:val="ListParagraph"/>
        <w:numPr>
          <w:ilvl w:val="0"/>
          <w:numId w:val="5"/>
        </w:numPr>
        <w:autoSpaceDE w:val="0"/>
        <w:autoSpaceDN w:val="0"/>
        <w:adjustRightInd w:val="0"/>
        <w:spacing w:after="0" w:line="276" w:lineRule="auto"/>
        <w:ind w:left="1800" w:right="-720"/>
        <w:rPr>
          <w:rFonts w:ascii="Arial" w:hAnsi="Arial" w:cs="Arial"/>
          <w:kern w:val="0"/>
          <w:sz w:val="20"/>
          <w:szCs w:val="20"/>
          <w:lang w:val="en-US"/>
        </w:rPr>
      </w:pPr>
      <w:r w:rsidRPr="003B65A2">
        <w:rPr>
          <w:rFonts w:ascii="Arial" w:hAnsi="Arial" w:cs="Arial"/>
          <w:kern w:val="0"/>
          <w:sz w:val="20"/>
          <w:szCs w:val="20"/>
          <w:lang w:val="en-US"/>
        </w:rPr>
        <w:t>DMSP Data Overstates Impacts: Using DMSP data, negative impacts on economic activity from expected typhoon damages at the municipality level appear over 50% larger than when using VIIRS data.</w:t>
      </w:r>
    </w:p>
    <w:p w14:paraId="1AD08A2C" w14:textId="05FEA1CC" w:rsidR="00A40AAE" w:rsidRPr="003B65A2" w:rsidRDefault="00A40AAE">
      <w:pPr>
        <w:pStyle w:val="ListParagraph"/>
        <w:numPr>
          <w:ilvl w:val="0"/>
          <w:numId w:val="5"/>
        </w:numPr>
        <w:autoSpaceDE w:val="0"/>
        <w:autoSpaceDN w:val="0"/>
        <w:adjustRightInd w:val="0"/>
        <w:spacing w:after="0" w:line="276" w:lineRule="auto"/>
        <w:ind w:left="1800" w:right="-720"/>
        <w:rPr>
          <w:rFonts w:ascii="Arial" w:hAnsi="Arial" w:cs="Arial"/>
          <w:kern w:val="0"/>
          <w:sz w:val="20"/>
          <w:szCs w:val="20"/>
          <w:lang w:val="en-US"/>
        </w:rPr>
      </w:pPr>
      <w:r w:rsidRPr="003B65A2">
        <w:rPr>
          <w:rFonts w:ascii="Arial" w:hAnsi="Arial" w:cs="Arial"/>
          <w:kern w:val="0"/>
          <w:sz w:val="20"/>
          <w:szCs w:val="20"/>
          <w:lang w:val="en-US"/>
        </w:rPr>
        <w:t>Spatial Autocorrelation Distortion: DMSP data show greater spatial autocorrelation (i.e., adjacent areas appear more similar in luminosity), which can artificially spread the apparent spatial impacts of disasters.</w:t>
      </w:r>
    </w:p>
    <w:p w14:paraId="4D518AAF" w14:textId="20B7E580" w:rsidR="00A40AAE" w:rsidRPr="003B65A2" w:rsidRDefault="00A40AAE">
      <w:pPr>
        <w:pStyle w:val="ListParagraph"/>
        <w:numPr>
          <w:ilvl w:val="0"/>
          <w:numId w:val="5"/>
        </w:numPr>
        <w:autoSpaceDE w:val="0"/>
        <w:autoSpaceDN w:val="0"/>
        <w:adjustRightInd w:val="0"/>
        <w:spacing w:after="0" w:line="276" w:lineRule="auto"/>
        <w:ind w:left="1800" w:right="-720"/>
        <w:rPr>
          <w:rFonts w:ascii="Arial" w:hAnsi="Arial" w:cs="Arial"/>
          <w:kern w:val="0"/>
          <w:sz w:val="20"/>
          <w:szCs w:val="20"/>
          <w:lang w:val="en-US"/>
        </w:rPr>
      </w:pPr>
      <w:r w:rsidRPr="003B65A2">
        <w:rPr>
          <w:rFonts w:ascii="Arial" w:hAnsi="Arial" w:cs="Arial"/>
          <w:kern w:val="0"/>
          <w:sz w:val="20"/>
          <w:szCs w:val="20"/>
          <w:lang w:val="en-US"/>
        </w:rPr>
        <w:t>Harmonized Data Issues: Harmonized datasets that adjust VIIRS images to be DMSP-like inherit these spatial distortions, so caution is needed when using such data for disaster assessments.</w:t>
      </w:r>
    </w:p>
    <w:p w14:paraId="4C42271A" w14:textId="77777777" w:rsidR="00A40AAE" w:rsidRPr="003B65A2" w:rsidRDefault="00A40AAE" w:rsidP="005F7C7E">
      <w:pPr>
        <w:autoSpaceDE w:val="0"/>
        <w:autoSpaceDN w:val="0"/>
        <w:adjustRightInd w:val="0"/>
        <w:spacing w:after="0" w:line="276" w:lineRule="auto"/>
        <w:ind w:left="1080" w:right="-720"/>
        <w:rPr>
          <w:rFonts w:ascii="Arial" w:hAnsi="Arial" w:cs="Arial"/>
          <w:kern w:val="0"/>
          <w:sz w:val="20"/>
          <w:szCs w:val="20"/>
          <w:lang w:val="en-US"/>
        </w:rPr>
      </w:pPr>
      <w:r w:rsidRPr="003B65A2">
        <w:rPr>
          <w:rFonts w:ascii="Arial" w:hAnsi="Arial" w:cs="Arial"/>
          <w:kern w:val="0"/>
          <w:sz w:val="20"/>
          <w:szCs w:val="20"/>
          <w:lang w:val="en-US"/>
        </w:rPr>
        <w:t>3. Technical Differences Between DMSP and VIIRS</w:t>
      </w:r>
    </w:p>
    <w:p w14:paraId="20E2EDE2" w14:textId="5BA39A6E" w:rsidR="00A40AAE" w:rsidRPr="003B65A2" w:rsidRDefault="00A40AAE">
      <w:pPr>
        <w:pStyle w:val="ListParagraph"/>
        <w:numPr>
          <w:ilvl w:val="0"/>
          <w:numId w:val="6"/>
        </w:numPr>
        <w:autoSpaceDE w:val="0"/>
        <w:autoSpaceDN w:val="0"/>
        <w:adjustRightInd w:val="0"/>
        <w:spacing w:after="0" w:line="276" w:lineRule="auto"/>
        <w:ind w:left="1800" w:right="-720"/>
        <w:rPr>
          <w:rFonts w:ascii="Arial" w:hAnsi="Arial" w:cs="Arial"/>
          <w:kern w:val="0"/>
          <w:sz w:val="20"/>
          <w:szCs w:val="20"/>
          <w:lang w:val="en-US"/>
        </w:rPr>
      </w:pPr>
      <w:r w:rsidRPr="003B65A2">
        <w:rPr>
          <w:rFonts w:ascii="Arial" w:hAnsi="Arial" w:cs="Arial"/>
          <w:kern w:val="0"/>
          <w:sz w:val="20"/>
          <w:szCs w:val="20"/>
          <w:lang w:val="en-US"/>
        </w:rPr>
        <w:t>Resolution: DMSP has a much coarser spatial resolution (25 km² at nadir) compared to VIIRS (0.55 km²), leading to blurred and top-coded images in DMSP.</w:t>
      </w:r>
    </w:p>
    <w:p w14:paraId="3CCCBDFC" w14:textId="0B99CDC1" w:rsidR="00A40AAE" w:rsidRPr="003B65A2" w:rsidRDefault="00A40AAE">
      <w:pPr>
        <w:pStyle w:val="ListParagraph"/>
        <w:numPr>
          <w:ilvl w:val="0"/>
          <w:numId w:val="6"/>
        </w:numPr>
        <w:autoSpaceDE w:val="0"/>
        <w:autoSpaceDN w:val="0"/>
        <w:adjustRightInd w:val="0"/>
        <w:spacing w:after="0" w:line="276" w:lineRule="auto"/>
        <w:ind w:left="1800" w:right="-720"/>
        <w:rPr>
          <w:rFonts w:ascii="Arial" w:hAnsi="Arial" w:cs="Arial"/>
          <w:kern w:val="0"/>
          <w:sz w:val="20"/>
          <w:szCs w:val="20"/>
          <w:lang w:val="en-US"/>
        </w:rPr>
      </w:pPr>
      <w:r w:rsidRPr="003B65A2">
        <w:rPr>
          <w:rFonts w:ascii="Arial" w:hAnsi="Arial" w:cs="Arial"/>
          <w:kern w:val="0"/>
          <w:sz w:val="20"/>
          <w:szCs w:val="20"/>
          <w:lang w:val="en-US"/>
        </w:rPr>
        <w:t>Quantization: DMSP uses a 6-bit scale (0–63), with issues of bottom- and top-coding, while VIIRS uses a 14-bit scale (up to 16,384 values) with no saturation problems.</w:t>
      </w:r>
    </w:p>
    <w:p w14:paraId="15A13FF2" w14:textId="75463835" w:rsidR="00A40AAE" w:rsidRPr="003B65A2" w:rsidRDefault="00A40AAE">
      <w:pPr>
        <w:pStyle w:val="ListParagraph"/>
        <w:numPr>
          <w:ilvl w:val="0"/>
          <w:numId w:val="6"/>
        </w:numPr>
        <w:autoSpaceDE w:val="0"/>
        <w:autoSpaceDN w:val="0"/>
        <w:adjustRightInd w:val="0"/>
        <w:spacing w:after="0" w:line="276" w:lineRule="auto"/>
        <w:ind w:left="1800" w:right="-720"/>
        <w:rPr>
          <w:rFonts w:ascii="Arial" w:hAnsi="Arial" w:cs="Arial"/>
          <w:kern w:val="0"/>
          <w:sz w:val="20"/>
          <w:szCs w:val="20"/>
          <w:lang w:val="en-US"/>
        </w:rPr>
      </w:pPr>
      <w:r w:rsidRPr="003B65A2">
        <w:rPr>
          <w:rFonts w:ascii="Arial" w:hAnsi="Arial" w:cs="Arial"/>
          <w:kern w:val="0"/>
          <w:sz w:val="20"/>
          <w:szCs w:val="20"/>
          <w:lang w:val="en-US"/>
        </w:rPr>
        <w:t>Observation Time: DMSP and VIIRS observe at different times of night, which can affect the type of economic activity captured.</w:t>
      </w:r>
    </w:p>
    <w:p w14:paraId="661EE0C2" w14:textId="77777777" w:rsidR="00A40AAE" w:rsidRPr="003B65A2" w:rsidRDefault="00A40AAE" w:rsidP="005F7C7E">
      <w:pPr>
        <w:autoSpaceDE w:val="0"/>
        <w:autoSpaceDN w:val="0"/>
        <w:adjustRightInd w:val="0"/>
        <w:spacing w:after="0" w:line="276" w:lineRule="auto"/>
        <w:ind w:left="1080" w:right="-720"/>
        <w:rPr>
          <w:rFonts w:ascii="Arial" w:hAnsi="Arial" w:cs="Arial"/>
          <w:kern w:val="0"/>
          <w:sz w:val="20"/>
          <w:szCs w:val="20"/>
          <w:lang w:val="en-US"/>
        </w:rPr>
      </w:pPr>
      <w:r w:rsidRPr="003B65A2">
        <w:rPr>
          <w:rFonts w:ascii="Arial" w:hAnsi="Arial" w:cs="Arial"/>
          <w:kern w:val="0"/>
          <w:sz w:val="20"/>
          <w:szCs w:val="20"/>
          <w:lang w:val="en-US"/>
        </w:rPr>
        <w:t>4. Methodological Insights</w:t>
      </w:r>
    </w:p>
    <w:p w14:paraId="49A15502" w14:textId="4034E0A5" w:rsidR="00A40AAE" w:rsidRPr="003B65A2" w:rsidRDefault="00A40AAE">
      <w:pPr>
        <w:pStyle w:val="ListParagraph"/>
        <w:numPr>
          <w:ilvl w:val="0"/>
          <w:numId w:val="7"/>
        </w:numPr>
        <w:autoSpaceDE w:val="0"/>
        <w:autoSpaceDN w:val="0"/>
        <w:adjustRightInd w:val="0"/>
        <w:spacing w:after="0" w:line="276" w:lineRule="auto"/>
        <w:ind w:left="1800" w:right="-720"/>
        <w:rPr>
          <w:rFonts w:ascii="Arial" w:hAnsi="Arial" w:cs="Arial"/>
          <w:kern w:val="0"/>
          <w:sz w:val="20"/>
          <w:szCs w:val="20"/>
          <w:lang w:val="en-US"/>
        </w:rPr>
      </w:pPr>
      <w:r w:rsidRPr="003B65A2">
        <w:rPr>
          <w:rFonts w:ascii="Arial" w:hAnsi="Arial" w:cs="Arial"/>
          <w:kern w:val="0"/>
          <w:sz w:val="20"/>
          <w:szCs w:val="20"/>
          <w:lang w:val="en-US"/>
        </w:rPr>
        <w:t>The study uses spatial econometric models to account for spillovers and spatial autocorrelation, which are important for disasters like typhoons that have spatially correlated impacts.</w:t>
      </w:r>
    </w:p>
    <w:p w14:paraId="4D470218" w14:textId="230294E5" w:rsidR="00A40AAE" w:rsidRPr="003B65A2" w:rsidRDefault="00A40AAE">
      <w:pPr>
        <w:pStyle w:val="ListParagraph"/>
        <w:numPr>
          <w:ilvl w:val="0"/>
          <w:numId w:val="7"/>
        </w:numPr>
        <w:autoSpaceDE w:val="0"/>
        <w:autoSpaceDN w:val="0"/>
        <w:adjustRightInd w:val="0"/>
        <w:spacing w:after="0" w:line="276" w:lineRule="auto"/>
        <w:ind w:left="1800" w:right="-720"/>
        <w:rPr>
          <w:rFonts w:ascii="Arial" w:hAnsi="Arial" w:cs="Arial"/>
          <w:kern w:val="0"/>
          <w:sz w:val="20"/>
          <w:szCs w:val="20"/>
          <w:lang w:val="en-US"/>
        </w:rPr>
      </w:pPr>
      <w:r w:rsidRPr="003B65A2">
        <w:rPr>
          <w:rFonts w:ascii="Arial" w:hAnsi="Arial" w:cs="Arial"/>
          <w:kern w:val="0"/>
          <w:sz w:val="20"/>
          <w:szCs w:val="20"/>
          <w:lang w:val="en-US"/>
        </w:rPr>
        <w:t>Results show that models using DMSP data consistently yield larger negative impacts than those using VIIRS data, across various model specifications.</w:t>
      </w:r>
    </w:p>
    <w:p w14:paraId="382840CA" w14:textId="77777777" w:rsidR="00A40AAE" w:rsidRPr="003B65A2" w:rsidRDefault="00A40AAE" w:rsidP="005F7C7E">
      <w:pPr>
        <w:autoSpaceDE w:val="0"/>
        <w:autoSpaceDN w:val="0"/>
        <w:adjustRightInd w:val="0"/>
        <w:spacing w:after="0" w:line="276" w:lineRule="auto"/>
        <w:ind w:left="1080" w:right="-720"/>
        <w:rPr>
          <w:rFonts w:ascii="Arial" w:hAnsi="Arial" w:cs="Arial"/>
          <w:kern w:val="0"/>
          <w:sz w:val="20"/>
          <w:szCs w:val="20"/>
          <w:lang w:val="en-US"/>
        </w:rPr>
      </w:pPr>
      <w:r w:rsidRPr="003B65A2">
        <w:rPr>
          <w:rFonts w:ascii="Arial" w:hAnsi="Arial" w:cs="Arial"/>
          <w:kern w:val="0"/>
          <w:sz w:val="20"/>
          <w:szCs w:val="20"/>
          <w:lang w:val="en-US"/>
        </w:rPr>
        <w:t>5. Practical Implications</w:t>
      </w:r>
    </w:p>
    <w:p w14:paraId="7B4A58B3" w14:textId="58A4EE2F" w:rsidR="00A40AAE" w:rsidRPr="003B65A2" w:rsidRDefault="00A40AAE">
      <w:pPr>
        <w:pStyle w:val="ListParagraph"/>
        <w:numPr>
          <w:ilvl w:val="0"/>
          <w:numId w:val="8"/>
        </w:numPr>
        <w:autoSpaceDE w:val="0"/>
        <w:autoSpaceDN w:val="0"/>
        <w:adjustRightInd w:val="0"/>
        <w:spacing w:after="0" w:line="276" w:lineRule="auto"/>
        <w:ind w:left="1800" w:right="-720"/>
        <w:rPr>
          <w:rFonts w:ascii="Arial" w:hAnsi="Arial" w:cs="Arial"/>
          <w:kern w:val="0"/>
          <w:sz w:val="20"/>
          <w:szCs w:val="20"/>
          <w:lang w:val="en-US"/>
        </w:rPr>
      </w:pPr>
      <w:r w:rsidRPr="003B65A2">
        <w:rPr>
          <w:rFonts w:ascii="Arial" w:hAnsi="Arial" w:cs="Arial"/>
          <w:kern w:val="0"/>
          <w:sz w:val="20"/>
          <w:szCs w:val="20"/>
          <w:lang w:val="en-US"/>
        </w:rPr>
        <w:lastRenderedPageBreak/>
        <w:t>For Researchers: Continued use of DMSP or harmonized DMSP-VIIRS data can lead to overestimation of disaster impacts, especially in spatial models. Researchers should prefer VIIRS data for post-2012 analyses and be cautious with harmonized datasets.</w:t>
      </w:r>
    </w:p>
    <w:p w14:paraId="6E39CAA1" w14:textId="407B5BAE" w:rsidR="00A40AAE" w:rsidRPr="003B65A2" w:rsidRDefault="00A40AAE">
      <w:pPr>
        <w:pStyle w:val="ListParagraph"/>
        <w:numPr>
          <w:ilvl w:val="0"/>
          <w:numId w:val="8"/>
        </w:numPr>
        <w:autoSpaceDE w:val="0"/>
        <w:autoSpaceDN w:val="0"/>
        <w:adjustRightInd w:val="0"/>
        <w:spacing w:after="0" w:line="276" w:lineRule="auto"/>
        <w:ind w:left="1800" w:right="-720"/>
        <w:rPr>
          <w:rFonts w:ascii="Arial" w:hAnsi="Arial" w:cs="Arial"/>
          <w:kern w:val="0"/>
          <w:sz w:val="20"/>
          <w:szCs w:val="20"/>
          <w:lang w:val="en-US"/>
        </w:rPr>
      </w:pPr>
      <w:r w:rsidRPr="003B65A2">
        <w:rPr>
          <w:rFonts w:ascii="Arial" w:hAnsi="Arial" w:cs="Arial"/>
          <w:kern w:val="0"/>
          <w:sz w:val="20"/>
          <w:szCs w:val="20"/>
          <w:lang w:val="en-US"/>
        </w:rPr>
        <w:t>For Policy and Practice: Overstated impacts may misinform disaster response and recovery planning, especially in rural or less-illuminated areas where DMSP is less sensitive.</w:t>
      </w:r>
    </w:p>
    <w:p w14:paraId="3A1F6937" w14:textId="77777777" w:rsidR="00A40AAE" w:rsidRPr="003B65A2" w:rsidRDefault="00A40AAE" w:rsidP="005F7C7E">
      <w:pPr>
        <w:autoSpaceDE w:val="0"/>
        <w:autoSpaceDN w:val="0"/>
        <w:adjustRightInd w:val="0"/>
        <w:spacing w:after="0" w:line="276" w:lineRule="auto"/>
        <w:ind w:left="1080" w:right="-720"/>
        <w:rPr>
          <w:rFonts w:ascii="Arial" w:hAnsi="Arial" w:cs="Arial"/>
          <w:kern w:val="0"/>
          <w:sz w:val="20"/>
          <w:szCs w:val="20"/>
          <w:lang w:val="en-US"/>
        </w:rPr>
      </w:pPr>
      <w:r w:rsidRPr="003B65A2">
        <w:rPr>
          <w:rFonts w:ascii="Arial" w:hAnsi="Arial" w:cs="Arial"/>
          <w:kern w:val="0"/>
          <w:sz w:val="20"/>
          <w:szCs w:val="20"/>
          <w:lang w:val="en-US"/>
        </w:rPr>
        <w:t>6. Recommendations and Future Directions</w:t>
      </w:r>
    </w:p>
    <w:p w14:paraId="62143E04" w14:textId="44533157" w:rsidR="00A40AAE" w:rsidRPr="003B65A2" w:rsidRDefault="00A40AAE">
      <w:pPr>
        <w:pStyle w:val="ListParagraph"/>
        <w:numPr>
          <w:ilvl w:val="0"/>
          <w:numId w:val="9"/>
        </w:numPr>
        <w:autoSpaceDE w:val="0"/>
        <w:autoSpaceDN w:val="0"/>
        <w:adjustRightInd w:val="0"/>
        <w:spacing w:after="0" w:line="276" w:lineRule="auto"/>
        <w:ind w:left="1800" w:right="-720"/>
        <w:rPr>
          <w:rFonts w:ascii="Arial" w:hAnsi="Arial" w:cs="Arial"/>
          <w:kern w:val="0"/>
          <w:sz w:val="20"/>
          <w:szCs w:val="20"/>
          <w:lang w:val="en-US"/>
        </w:rPr>
      </w:pPr>
      <w:r w:rsidRPr="003B65A2">
        <w:rPr>
          <w:rFonts w:ascii="Arial" w:hAnsi="Arial" w:cs="Arial"/>
          <w:kern w:val="0"/>
          <w:sz w:val="20"/>
          <w:szCs w:val="20"/>
          <w:lang w:val="en-US"/>
        </w:rPr>
        <w:t>Researchers should use VIIRS data where possible and critically assess the limitations of harmonized or DMSP data.</w:t>
      </w:r>
    </w:p>
    <w:p w14:paraId="3D9C13E4" w14:textId="2C5CB11B" w:rsidR="00A40AAE" w:rsidRPr="003B65A2" w:rsidRDefault="00A40AAE">
      <w:pPr>
        <w:pStyle w:val="ListParagraph"/>
        <w:numPr>
          <w:ilvl w:val="0"/>
          <w:numId w:val="9"/>
        </w:numPr>
        <w:autoSpaceDE w:val="0"/>
        <w:autoSpaceDN w:val="0"/>
        <w:adjustRightInd w:val="0"/>
        <w:spacing w:after="0" w:line="276" w:lineRule="auto"/>
        <w:ind w:left="1800" w:right="-720"/>
        <w:rPr>
          <w:rFonts w:ascii="Arial" w:hAnsi="Arial" w:cs="Arial"/>
          <w:kern w:val="0"/>
          <w:sz w:val="20"/>
          <w:szCs w:val="20"/>
          <w:lang w:val="en-US"/>
        </w:rPr>
      </w:pPr>
      <w:r w:rsidRPr="003B65A2">
        <w:rPr>
          <w:rFonts w:ascii="Arial" w:hAnsi="Arial" w:cs="Arial"/>
          <w:kern w:val="0"/>
          <w:sz w:val="20"/>
          <w:szCs w:val="20"/>
          <w:lang w:val="en-US"/>
        </w:rPr>
        <w:t>Further studies should compare NTL data with ground-truth economic data or insurance claims to validate impact estimates.</w:t>
      </w:r>
    </w:p>
    <w:p w14:paraId="27B3F602" w14:textId="02F8EA09" w:rsidR="00A40AAE" w:rsidRPr="003B65A2" w:rsidRDefault="00A40AAE">
      <w:pPr>
        <w:pStyle w:val="ListParagraph"/>
        <w:numPr>
          <w:ilvl w:val="0"/>
          <w:numId w:val="9"/>
        </w:numPr>
        <w:autoSpaceDE w:val="0"/>
        <w:autoSpaceDN w:val="0"/>
        <w:adjustRightInd w:val="0"/>
        <w:spacing w:after="0" w:line="276" w:lineRule="auto"/>
        <w:ind w:left="1800" w:right="-720"/>
        <w:rPr>
          <w:rFonts w:ascii="Arial" w:hAnsi="Arial" w:cs="Arial"/>
          <w:kern w:val="0"/>
          <w:sz w:val="20"/>
          <w:szCs w:val="20"/>
          <w:lang w:val="en-US"/>
        </w:rPr>
      </w:pPr>
      <w:r w:rsidRPr="003B65A2">
        <w:rPr>
          <w:rFonts w:ascii="Arial" w:hAnsi="Arial" w:cs="Arial"/>
          <w:kern w:val="0"/>
          <w:sz w:val="20"/>
          <w:szCs w:val="20"/>
          <w:lang w:val="en-US"/>
        </w:rPr>
        <w:t>Newer satellites (e.g., China’s SDGSAT-1) may offer even better data for future research.</w:t>
      </w:r>
    </w:p>
    <w:p w14:paraId="3DF17EF2" w14:textId="77777777" w:rsidR="00A40AAE" w:rsidRPr="003B65A2" w:rsidRDefault="00A40AAE" w:rsidP="005F7C7E">
      <w:pPr>
        <w:autoSpaceDE w:val="0"/>
        <w:autoSpaceDN w:val="0"/>
        <w:adjustRightInd w:val="0"/>
        <w:spacing w:after="0" w:line="276" w:lineRule="auto"/>
        <w:ind w:left="1080" w:right="-720"/>
        <w:rPr>
          <w:rFonts w:ascii="Arial" w:hAnsi="Arial" w:cs="Arial"/>
          <w:kern w:val="0"/>
          <w:sz w:val="20"/>
          <w:szCs w:val="20"/>
          <w:lang w:val="en-US"/>
        </w:rPr>
      </w:pPr>
      <w:r w:rsidRPr="003B65A2">
        <w:rPr>
          <w:rFonts w:ascii="Arial" w:hAnsi="Arial" w:cs="Arial"/>
          <w:kern w:val="0"/>
          <w:sz w:val="20"/>
          <w:szCs w:val="20"/>
          <w:lang w:val="en-US"/>
        </w:rPr>
        <w:t>7. Example Illustration</w:t>
      </w:r>
    </w:p>
    <w:p w14:paraId="749FEA0B" w14:textId="2F5E4B7D" w:rsidR="00A40AAE" w:rsidRPr="003B65A2" w:rsidRDefault="00A40AAE">
      <w:pPr>
        <w:pStyle w:val="ListParagraph"/>
        <w:numPr>
          <w:ilvl w:val="0"/>
          <w:numId w:val="10"/>
        </w:numPr>
        <w:autoSpaceDE w:val="0"/>
        <w:autoSpaceDN w:val="0"/>
        <w:adjustRightInd w:val="0"/>
        <w:spacing w:after="0" w:line="276" w:lineRule="auto"/>
        <w:ind w:left="1800" w:right="-720"/>
        <w:rPr>
          <w:rFonts w:ascii="Arial" w:hAnsi="Arial" w:cs="Arial"/>
          <w:kern w:val="0"/>
          <w:sz w:val="20"/>
          <w:szCs w:val="20"/>
          <w:lang w:val="en-US"/>
        </w:rPr>
      </w:pPr>
      <w:r w:rsidRPr="003B65A2">
        <w:rPr>
          <w:rFonts w:ascii="Arial" w:hAnsi="Arial" w:cs="Arial"/>
          <w:kern w:val="0"/>
          <w:sz w:val="20"/>
          <w:szCs w:val="20"/>
          <w:lang w:val="en-US"/>
        </w:rPr>
        <w:t>The document provides visual and statistical examples showing how DMSP blurs city boundaries and spreads light over adjacent areas, leading to exaggerated estimates of disaster impact zones.</w:t>
      </w:r>
    </w:p>
    <w:p w14:paraId="35E2A9EC" w14:textId="2D9B6181" w:rsidR="00A40AAE" w:rsidRPr="003B65A2" w:rsidRDefault="00A40AAE">
      <w:pPr>
        <w:pStyle w:val="ListParagraph"/>
        <w:numPr>
          <w:ilvl w:val="0"/>
          <w:numId w:val="10"/>
        </w:numPr>
        <w:autoSpaceDE w:val="0"/>
        <w:autoSpaceDN w:val="0"/>
        <w:adjustRightInd w:val="0"/>
        <w:spacing w:after="0" w:line="276" w:lineRule="auto"/>
        <w:ind w:left="1800" w:right="-720"/>
        <w:rPr>
          <w:rFonts w:ascii="Arial" w:hAnsi="Arial" w:cs="Arial"/>
          <w:kern w:val="0"/>
          <w:sz w:val="20"/>
          <w:szCs w:val="20"/>
          <w:lang w:val="en-US"/>
        </w:rPr>
      </w:pPr>
      <w:r w:rsidRPr="003B65A2">
        <w:rPr>
          <w:rFonts w:ascii="Arial" w:hAnsi="Arial" w:cs="Arial"/>
          <w:kern w:val="0"/>
          <w:sz w:val="20"/>
          <w:szCs w:val="20"/>
          <w:lang w:val="en-US"/>
        </w:rPr>
        <w:t>In one case, DMSP data attributed reductions in city lights (due to disaster) to neighboring areas, distorting the true spatial pattern of economic loss.</w:t>
      </w:r>
    </w:p>
    <w:p w14:paraId="5C95776D" w14:textId="77777777" w:rsidR="00A40AAE" w:rsidRPr="003B65A2" w:rsidRDefault="00A40AAE" w:rsidP="005F7C7E">
      <w:pPr>
        <w:pStyle w:val="ListParagraph"/>
        <w:autoSpaceDE w:val="0"/>
        <w:autoSpaceDN w:val="0"/>
        <w:adjustRightInd w:val="0"/>
        <w:spacing w:after="0" w:line="276" w:lineRule="auto"/>
        <w:ind w:left="1800" w:right="-720"/>
        <w:rPr>
          <w:rFonts w:ascii="Arial" w:hAnsi="Arial" w:cs="Arial"/>
          <w:kern w:val="0"/>
          <w:sz w:val="20"/>
          <w:szCs w:val="20"/>
          <w:lang w:val="en-US"/>
        </w:rPr>
      </w:pPr>
    </w:p>
    <w:p w14:paraId="2355ADA4" w14:textId="7FEE974E" w:rsidR="00A40AAE" w:rsidRPr="003B65A2" w:rsidRDefault="00A40AAE" w:rsidP="005F7C7E">
      <w:pPr>
        <w:autoSpaceDE w:val="0"/>
        <w:autoSpaceDN w:val="0"/>
        <w:adjustRightInd w:val="0"/>
        <w:spacing w:after="0" w:line="276" w:lineRule="auto"/>
        <w:ind w:left="1080" w:right="-720"/>
        <w:rPr>
          <w:rFonts w:ascii="Arial" w:hAnsi="Arial" w:cs="Arial"/>
          <w:kern w:val="0"/>
          <w:sz w:val="20"/>
          <w:szCs w:val="20"/>
          <w:lang w:val="en-US"/>
        </w:rPr>
      </w:pPr>
      <w:r w:rsidRPr="003B65A2">
        <w:rPr>
          <w:rFonts w:ascii="Arial" w:hAnsi="Arial" w:cs="Arial"/>
          <w:b/>
          <w:bCs/>
          <w:kern w:val="0"/>
          <w:sz w:val="20"/>
          <w:szCs w:val="20"/>
          <w:lang w:val="en-US"/>
        </w:rPr>
        <w:t>In summary:</w:t>
      </w:r>
      <w:r w:rsidRPr="003B65A2">
        <w:rPr>
          <w:rFonts w:ascii="Arial" w:hAnsi="Arial" w:cs="Arial"/>
          <w:kern w:val="0"/>
          <w:sz w:val="20"/>
          <w:szCs w:val="20"/>
          <w:lang w:val="en-US"/>
        </w:rPr>
        <w:t xml:space="preserve"> The document demonstrates that reliance on outdated or harmonized night-time lights data (DMSP or DMSP-like) can significantly distort disaster impact estimates due to technical limitations and spatial autocorrelation artifacts. The authors recommend using VIIRS data for more accurate and precise assessments, especially in spatially explicit disaster impact studies.</w:t>
      </w:r>
    </w:p>
    <w:p w14:paraId="55A12300" w14:textId="77777777" w:rsidR="00EA222E" w:rsidRPr="003B65A2" w:rsidRDefault="00EA222E" w:rsidP="005F7C7E">
      <w:pPr>
        <w:autoSpaceDE w:val="0"/>
        <w:autoSpaceDN w:val="0"/>
        <w:adjustRightInd w:val="0"/>
        <w:spacing w:after="0" w:line="276" w:lineRule="auto"/>
        <w:ind w:left="1080" w:right="-720"/>
        <w:rPr>
          <w:rFonts w:ascii="Arial" w:hAnsi="Arial" w:cs="Arial"/>
          <w:kern w:val="0"/>
          <w:sz w:val="20"/>
          <w:szCs w:val="20"/>
          <w:lang w:val="en-US"/>
        </w:rPr>
      </w:pPr>
    </w:p>
    <w:p w14:paraId="245F9B3E" w14:textId="0D5A6A6C" w:rsidR="00EA222E" w:rsidRPr="003B65A2" w:rsidRDefault="00EA222E">
      <w:pPr>
        <w:pStyle w:val="ReferenceTitle"/>
        <w:numPr>
          <w:ilvl w:val="0"/>
          <w:numId w:val="15"/>
        </w:numPr>
        <w:spacing w:line="276" w:lineRule="auto"/>
      </w:pPr>
      <w:r w:rsidRPr="003B65A2">
        <w:t xml:space="preserve">Hung, L.W., Anderson, S.J., Pipkin, A., &amp; Fristrup, K. (2021). </w:t>
      </w:r>
      <w:r w:rsidRPr="003B65A2">
        <w:rPr>
          <w:b/>
          <w:bCs/>
        </w:rPr>
        <w:t>Changes in night sky brightness after a countywide LED retrofit</w:t>
      </w:r>
      <w:r w:rsidRPr="003B65A2">
        <w:t xml:space="preserve">. </w:t>
      </w:r>
      <w:r w:rsidRPr="003B65A2">
        <w:rPr>
          <w:i/>
          <w:iCs/>
        </w:rPr>
        <w:t>J Environ Manage, 292</w:t>
      </w:r>
      <w:r w:rsidRPr="003B65A2">
        <w:t>, 112776</w:t>
      </w:r>
      <w:r w:rsidR="005F7C7E" w:rsidRPr="003B65A2">
        <w:rPr>
          <w:rFonts w:eastAsiaTheme="minorHAnsi"/>
        </w:rPr>
        <w:t xml:space="preserve">, </w:t>
      </w:r>
      <w:hyperlink r:id="rId9" w:history="1">
        <w:r w:rsidR="005F7C7E" w:rsidRPr="003B65A2">
          <w:rPr>
            <w:rStyle w:val="Hyperlink"/>
            <w:rFonts w:eastAsiaTheme="minorHAnsi"/>
          </w:rPr>
          <w:t>https://doi.org/10.1016/j.jenvman.2021.112776</w:t>
        </w:r>
      </w:hyperlink>
      <w:r w:rsidR="005F7C7E" w:rsidRPr="003B65A2">
        <w:rPr>
          <w:rFonts w:eastAsiaTheme="minorHAnsi"/>
        </w:rPr>
        <w:t xml:space="preserve"> </w:t>
      </w:r>
    </w:p>
    <w:p w14:paraId="415CE119" w14:textId="77777777" w:rsidR="005F7C7E" w:rsidRPr="003B65A2" w:rsidRDefault="005F7C7E" w:rsidP="005F7C7E">
      <w:pPr>
        <w:pStyle w:val="ReferenceTitle"/>
        <w:spacing w:line="276" w:lineRule="auto"/>
        <w:ind w:left="1080"/>
      </w:pPr>
    </w:p>
    <w:p w14:paraId="32F5255A" w14:textId="77777777" w:rsidR="00EA222E" w:rsidRPr="003B65A2" w:rsidRDefault="00EA222E" w:rsidP="005F7C7E">
      <w:pPr>
        <w:pStyle w:val="jot-paragraph-element"/>
        <w:spacing w:before="0" w:beforeAutospacing="0" w:after="0" w:afterAutospacing="0" w:line="276" w:lineRule="auto"/>
        <w:ind w:left="1080"/>
        <w:rPr>
          <w:rFonts w:ascii="Arial" w:hAnsi="Arial" w:cs="Arial"/>
          <w:sz w:val="20"/>
          <w:szCs w:val="20"/>
        </w:rPr>
      </w:pPr>
      <w:r w:rsidRPr="003B65A2">
        <w:rPr>
          <w:rStyle w:val="Strong"/>
          <w:rFonts w:ascii="Arial" w:hAnsi="Arial" w:cs="Arial"/>
          <w:b w:val="0"/>
          <w:bCs w:val="0"/>
          <w:sz w:val="20"/>
          <w:szCs w:val="20"/>
        </w:rPr>
        <w:t>1. Key Findings:</w:t>
      </w:r>
    </w:p>
    <w:p w14:paraId="01A6B94D" w14:textId="77777777" w:rsidR="00EA222E" w:rsidRPr="003B65A2" w:rsidRDefault="00EA222E">
      <w:pPr>
        <w:pStyle w:val="jot-paragraph-element"/>
        <w:numPr>
          <w:ilvl w:val="0"/>
          <w:numId w:val="11"/>
        </w:numPr>
        <w:tabs>
          <w:tab w:val="clear" w:pos="720"/>
          <w:tab w:val="num" w:pos="1800"/>
        </w:tabs>
        <w:spacing w:before="0" w:beforeAutospacing="0" w:after="0" w:afterAutospacing="0" w:line="276" w:lineRule="auto"/>
        <w:ind w:left="1800"/>
        <w:rPr>
          <w:rFonts w:ascii="Arial" w:hAnsi="Arial" w:cs="Arial"/>
          <w:sz w:val="20"/>
          <w:szCs w:val="20"/>
        </w:rPr>
      </w:pPr>
      <w:r w:rsidRPr="003B65A2">
        <w:rPr>
          <w:rStyle w:val="Strong"/>
          <w:rFonts w:ascii="Arial" w:hAnsi="Arial" w:cs="Arial"/>
          <w:b w:val="0"/>
          <w:bCs w:val="0"/>
          <w:sz w:val="20"/>
          <w:szCs w:val="20"/>
        </w:rPr>
        <w:t>Ground-based measurements (calibrated camera):</w:t>
      </w:r>
    </w:p>
    <w:p w14:paraId="741F7D03" w14:textId="77777777" w:rsidR="00EA222E" w:rsidRPr="003B65A2" w:rsidRDefault="00EA222E">
      <w:pPr>
        <w:pStyle w:val="jot-list-item-element"/>
        <w:numPr>
          <w:ilvl w:val="1"/>
          <w:numId w:val="11"/>
        </w:numPr>
        <w:tabs>
          <w:tab w:val="clear" w:pos="1440"/>
          <w:tab w:val="num" w:pos="2160"/>
        </w:tabs>
        <w:spacing w:before="0" w:beforeAutospacing="0" w:after="0" w:afterAutospacing="0" w:line="276" w:lineRule="auto"/>
        <w:ind w:left="2520"/>
        <w:rPr>
          <w:rFonts w:ascii="Arial" w:hAnsi="Arial" w:cs="Arial"/>
          <w:sz w:val="20"/>
          <w:szCs w:val="20"/>
        </w:rPr>
      </w:pPr>
      <w:r w:rsidRPr="003B65A2">
        <w:rPr>
          <w:rFonts w:ascii="Arial" w:hAnsi="Arial" w:cs="Arial"/>
          <w:sz w:val="20"/>
          <w:szCs w:val="20"/>
        </w:rPr>
        <w:t>After the LED retrofit, the night sky became significantly brighter. The zenith sky brightness increased by 60% (a decrease of 0.5 mag/arcsec²), and the artificial light pollution ratio rose from 2.3 to 3.69 times the natural sky level.</w:t>
      </w:r>
    </w:p>
    <w:p w14:paraId="770BC536" w14:textId="77777777" w:rsidR="00EA222E" w:rsidRPr="003B65A2" w:rsidRDefault="00EA222E">
      <w:pPr>
        <w:pStyle w:val="jot-list-item-element"/>
        <w:numPr>
          <w:ilvl w:val="1"/>
          <w:numId w:val="11"/>
        </w:numPr>
        <w:tabs>
          <w:tab w:val="clear" w:pos="1440"/>
          <w:tab w:val="num" w:pos="2160"/>
        </w:tabs>
        <w:spacing w:before="0" w:beforeAutospacing="0" w:after="0" w:afterAutospacing="0" w:line="276" w:lineRule="auto"/>
        <w:ind w:left="2520"/>
        <w:rPr>
          <w:rFonts w:ascii="Arial" w:hAnsi="Arial" w:cs="Arial"/>
          <w:sz w:val="20"/>
          <w:szCs w:val="20"/>
        </w:rPr>
      </w:pPr>
      <w:r w:rsidRPr="003B65A2">
        <w:rPr>
          <w:rFonts w:ascii="Arial" w:hAnsi="Arial" w:cs="Arial"/>
          <w:sz w:val="20"/>
          <w:szCs w:val="20"/>
        </w:rPr>
        <w:t>The light dome over Wenatchee (the largest city) became larger and extended higher into the sky, causing more stars to be lost to skyglow (from 39% to 51% of stars lost).</w:t>
      </w:r>
    </w:p>
    <w:p w14:paraId="1999AE38" w14:textId="77777777" w:rsidR="00EA222E" w:rsidRPr="003B65A2" w:rsidRDefault="00EA222E">
      <w:pPr>
        <w:pStyle w:val="jot-list-item-element"/>
        <w:numPr>
          <w:ilvl w:val="1"/>
          <w:numId w:val="11"/>
        </w:numPr>
        <w:tabs>
          <w:tab w:val="clear" w:pos="1440"/>
          <w:tab w:val="num" w:pos="2160"/>
        </w:tabs>
        <w:spacing w:before="0" w:beforeAutospacing="0" w:after="0" w:afterAutospacing="0" w:line="276" w:lineRule="auto"/>
        <w:ind w:left="2520"/>
        <w:rPr>
          <w:rFonts w:ascii="Arial" w:hAnsi="Arial" w:cs="Arial"/>
          <w:sz w:val="20"/>
          <w:szCs w:val="20"/>
        </w:rPr>
      </w:pPr>
      <w:r w:rsidRPr="003B65A2">
        <w:rPr>
          <w:rFonts w:ascii="Arial" w:hAnsi="Arial" w:cs="Arial"/>
          <w:sz w:val="20"/>
          <w:szCs w:val="20"/>
        </w:rPr>
        <w:t>Despite using mostly 3000K LEDs (considered more night-sky friendly) and reducing average lumen output per light by about 50%, skyglow still increased.</w:t>
      </w:r>
    </w:p>
    <w:p w14:paraId="37BD48BA" w14:textId="77777777" w:rsidR="00EA222E" w:rsidRPr="003B65A2" w:rsidRDefault="00EA222E">
      <w:pPr>
        <w:pStyle w:val="jot-paragraph-element"/>
        <w:numPr>
          <w:ilvl w:val="0"/>
          <w:numId w:val="11"/>
        </w:numPr>
        <w:tabs>
          <w:tab w:val="clear" w:pos="720"/>
          <w:tab w:val="num" w:pos="1440"/>
        </w:tabs>
        <w:spacing w:before="0" w:beforeAutospacing="0" w:after="0" w:afterAutospacing="0" w:line="276" w:lineRule="auto"/>
        <w:ind w:left="1800"/>
        <w:rPr>
          <w:rFonts w:ascii="Arial" w:hAnsi="Arial" w:cs="Arial"/>
          <w:sz w:val="20"/>
          <w:szCs w:val="20"/>
        </w:rPr>
      </w:pPr>
      <w:r w:rsidRPr="003B65A2">
        <w:rPr>
          <w:rStyle w:val="Strong"/>
          <w:rFonts w:ascii="Arial" w:hAnsi="Arial" w:cs="Arial"/>
          <w:b w:val="0"/>
          <w:bCs w:val="0"/>
          <w:sz w:val="20"/>
          <w:szCs w:val="20"/>
        </w:rPr>
        <w:t>Satellite measurements (VIIRS):</w:t>
      </w:r>
    </w:p>
    <w:p w14:paraId="739BCBC1" w14:textId="77777777" w:rsidR="00EA222E" w:rsidRPr="003B65A2" w:rsidRDefault="00EA222E">
      <w:pPr>
        <w:pStyle w:val="jot-list-item-element"/>
        <w:numPr>
          <w:ilvl w:val="1"/>
          <w:numId w:val="11"/>
        </w:numPr>
        <w:tabs>
          <w:tab w:val="clear" w:pos="1440"/>
          <w:tab w:val="num" w:pos="2160"/>
        </w:tabs>
        <w:spacing w:before="0" w:beforeAutospacing="0" w:after="0" w:afterAutospacing="0" w:line="276" w:lineRule="auto"/>
        <w:ind w:left="2520"/>
        <w:rPr>
          <w:rFonts w:ascii="Arial" w:hAnsi="Arial" w:cs="Arial"/>
          <w:sz w:val="20"/>
          <w:szCs w:val="20"/>
        </w:rPr>
      </w:pPr>
      <w:r w:rsidRPr="003B65A2">
        <w:rPr>
          <w:rFonts w:ascii="Arial" w:hAnsi="Arial" w:cs="Arial"/>
          <w:sz w:val="20"/>
          <w:szCs w:val="20"/>
        </w:rPr>
        <w:t>VIIRS data showed a decrease in upward radiance after the retrofit, suggesting the area was darker from the satellite's perspective.</w:t>
      </w:r>
    </w:p>
    <w:p w14:paraId="3AE49031" w14:textId="77777777" w:rsidR="00EA222E" w:rsidRPr="003B65A2" w:rsidRDefault="00EA222E">
      <w:pPr>
        <w:pStyle w:val="jot-list-item-element"/>
        <w:numPr>
          <w:ilvl w:val="1"/>
          <w:numId w:val="11"/>
        </w:numPr>
        <w:tabs>
          <w:tab w:val="clear" w:pos="1440"/>
          <w:tab w:val="num" w:pos="2160"/>
        </w:tabs>
        <w:spacing w:before="0" w:beforeAutospacing="0" w:after="0" w:afterAutospacing="0" w:line="276" w:lineRule="auto"/>
        <w:ind w:left="2520"/>
        <w:rPr>
          <w:rFonts w:ascii="Arial" w:hAnsi="Arial" w:cs="Arial"/>
          <w:sz w:val="20"/>
          <w:szCs w:val="20"/>
        </w:rPr>
      </w:pPr>
      <w:r w:rsidRPr="003B65A2">
        <w:rPr>
          <w:rFonts w:ascii="Arial" w:hAnsi="Arial" w:cs="Arial"/>
          <w:sz w:val="20"/>
          <w:szCs w:val="20"/>
        </w:rPr>
        <w:t>This apparent contradiction is due to VIIRS's insensitivity to blue light (wavelengths &lt;500 nm), which is more prevalent in LED lighting, and improved shielding/directivity of the new luminaires.</w:t>
      </w:r>
    </w:p>
    <w:p w14:paraId="6D7C82FC" w14:textId="77777777" w:rsidR="00EA222E" w:rsidRPr="003B65A2" w:rsidRDefault="00EA222E" w:rsidP="005F7C7E">
      <w:pPr>
        <w:pStyle w:val="jot-paragraph-element"/>
        <w:spacing w:before="0" w:beforeAutospacing="0" w:after="0" w:afterAutospacing="0" w:line="276" w:lineRule="auto"/>
        <w:ind w:left="1080"/>
        <w:rPr>
          <w:rFonts w:ascii="Arial" w:hAnsi="Arial" w:cs="Arial"/>
          <w:sz w:val="20"/>
          <w:szCs w:val="20"/>
        </w:rPr>
      </w:pPr>
      <w:r w:rsidRPr="003B65A2">
        <w:rPr>
          <w:rStyle w:val="Strong"/>
          <w:rFonts w:ascii="Arial" w:hAnsi="Arial" w:cs="Arial"/>
          <w:b w:val="0"/>
          <w:bCs w:val="0"/>
          <w:sz w:val="20"/>
          <w:szCs w:val="20"/>
        </w:rPr>
        <w:t>2. Why Did Skyglow Increase?</w:t>
      </w:r>
    </w:p>
    <w:p w14:paraId="5CB9FFEC" w14:textId="77777777" w:rsidR="00EA222E" w:rsidRPr="003B65A2" w:rsidRDefault="00EA222E">
      <w:pPr>
        <w:pStyle w:val="jot-list-item-element"/>
        <w:numPr>
          <w:ilvl w:val="0"/>
          <w:numId w:val="12"/>
        </w:numPr>
        <w:tabs>
          <w:tab w:val="clear" w:pos="720"/>
          <w:tab w:val="num" w:pos="1440"/>
        </w:tabs>
        <w:spacing w:before="0" w:beforeAutospacing="0" w:after="0" w:afterAutospacing="0" w:line="276" w:lineRule="auto"/>
        <w:ind w:left="1800"/>
        <w:rPr>
          <w:rFonts w:ascii="Arial" w:hAnsi="Arial" w:cs="Arial"/>
          <w:sz w:val="20"/>
          <w:szCs w:val="20"/>
        </w:rPr>
      </w:pPr>
      <w:r w:rsidRPr="003B65A2">
        <w:rPr>
          <w:rStyle w:val="Strong"/>
          <w:rFonts w:ascii="Arial" w:hAnsi="Arial" w:cs="Arial"/>
          <w:b w:val="0"/>
          <w:bCs w:val="0"/>
          <w:sz w:val="20"/>
          <w:szCs w:val="20"/>
        </w:rPr>
        <w:t>Spectral Shift:</w:t>
      </w:r>
      <w:r w:rsidRPr="003B65A2">
        <w:rPr>
          <w:rFonts w:ascii="Arial" w:hAnsi="Arial" w:cs="Arial"/>
          <w:sz w:val="20"/>
          <w:szCs w:val="20"/>
        </w:rPr>
        <w:t xml:space="preserve"> LEDs emit more short-wavelength (blue) light, which scatters more in the atmosphere and increases skyglow, even if total lumen output is reduced.</w:t>
      </w:r>
    </w:p>
    <w:p w14:paraId="669BDCAB" w14:textId="77777777" w:rsidR="00EA222E" w:rsidRPr="003B65A2" w:rsidRDefault="00EA222E">
      <w:pPr>
        <w:pStyle w:val="jot-list-item-element"/>
        <w:numPr>
          <w:ilvl w:val="0"/>
          <w:numId w:val="12"/>
        </w:numPr>
        <w:tabs>
          <w:tab w:val="clear" w:pos="720"/>
          <w:tab w:val="num" w:pos="1440"/>
        </w:tabs>
        <w:spacing w:before="0" w:beforeAutospacing="0" w:after="0" w:afterAutospacing="0" w:line="276" w:lineRule="auto"/>
        <w:ind w:left="1800"/>
        <w:rPr>
          <w:rFonts w:ascii="Arial" w:hAnsi="Arial" w:cs="Arial"/>
          <w:sz w:val="20"/>
          <w:szCs w:val="20"/>
        </w:rPr>
      </w:pPr>
      <w:r w:rsidRPr="003B65A2">
        <w:rPr>
          <w:rStyle w:val="Strong"/>
          <w:rFonts w:ascii="Arial" w:hAnsi="Arial" w:cs="Arial"/>
          <w:b w:val="0"/>
          <w:bCs w:val="0"/>
          <w:sz w:val="20"/>
          <w:szCs w:val="20"/>
        </w:rPr>
        <w:lastRenderedPageBreak/>
        <w:t>Measurement Limitations:</w:t>
      </w:r>
      <w:r w:rsidRPr="003B65A2">
        <w:rPr>
          <w:rFonts w:ascii="Arial" w:hAnsi="Arial" w:cs="Arial"/>
          <w:sz w:val="20"/>
          <w:szCs w:val="20"/>
        </w:rPr>
        <w:t xml:space="preserve"> Satellite sensors like VIIRS underestimate skyglow after LED retrofits because they cannot detect much of the blue light emitted by LEDs.</w:t>
      </w:r>
    </w:p>
    <w:p w14:paraId="046D8775" w14:textId="77777777" w:rsidR="00EA222E" w:rsidRPr="003B65A2" w:rsidRDefault="00EA222E">
      <w:pPr>
        <w:pStyle w:val="jot-list-item-element"/>
        <w:numPr>
          <w:ilvl w:val="0"/>
          <w:numId w:val="12"/>
        </w:numPr>
        <w:tabs>
          <w:tab w:val="clear" w:pos="720"/>
          <w:tab w:val="num" w:pos="1440"/>
        </w:tabs>
        <w:spacing w:before="0" w:beforeAutospacing="0" w:after="0" w:afterAutospacing="0" w:line="276" w:lineRule="auto"/>
        <w:ind w:left="1800"/>
        <w:rPr>
          <w:rFonts w:ascii="Arial" w:hAnsi="Arial" w:cs="Arial"/>
          <w:sz w:val="20"/>
          <w:szCs w:val="20"/>
        </w:rPr>
      </w:pPr>
      <w:r w:rsidRPr="003B65A2">
        <w:rPr>
          <w:rStyle w:val="Strong"/>
          <w:rFonts w:ascii="Arial" w:hAnsi="Arial" w:cs="Arial"/>
          <w:b w:val="0"/>
          <w:bCs w:val="0"/>
          <w:sz w:val="20"/>
          <w:szCs w:val="20"/>
        </w:rPr>
        <w:t>Shielding and Directivity:</w:t>
      </w:r>
      <w:r w:rsidRPr="003B65A2">
        <w:rPr>
          <w:rFonts w:ascii="Arial" w:hAnsi="Arial" w:cs="Arial"/>
          <w:sz w:val="20"/>
          <w:szCs w:val="20"/>
        </w:rPr>
        <w:t xml:space="preserve"> While improved shielding reduces upward light, the increased blue content still leads to more atmospheric scattering and visible skyglow.</w:t>
      </w:r>
    </w:p>
    <w:p w14:paraId="78F2463A" w14:textId="77777777" w:rsidR="00EA222E" w:rsidRPr="003B65A2" w:rsidRDefault="00EA222E" w:rsidP="005F7C7E">
      <w:pPr>
        <w:pStyle w:val="jot-paragraph-element"/>
        <w:spacing w:before="0" w:beforeAutospacing="0" w:after="0" w:afterAutospacing="0" w:line="276" w:lineRule="auto"/>
        <w:ind w:left="1080"/>
        <w:rPr>
          <w:rFonts w:ascii="Arial" w:hAnsi="Arial" w:cs="Arial"/>
          <w:sz w:val="20"/>
          <w:szCs w:val="20"/>
        </w:rPr>
      </w:pPr>
      <w:r w:rsidRPr="003B65A2">
        <w:rPr>
          <w:rStyle w:val="Strong"/>
          <w:rFonts w:ascii="Arial" w:hAnsi="Arial" w:cs="Arial"/>
          <w:b w:val="0"/>
          <w:bCs w:val="0"/>
          <w:sz w:val="20"/>
          <w:szCs w:val="20"/>
        </w:rPr>
        <w:t>3. Implications and Recommendations:</w:t>
      </w:r>
    </w:p>
    <w:p w14:paraId="017D1E27" w14:textId="77777777" w:rsidR="00EA222E" w:rsidRPr="003B65A2" w:rsidRDefault="00EA222E">
      <w:pPr>
        <w:pStyle w:val="jot-list-item-element"/>
        <w:numPr>
          <w:ilvl w:val="0"/>
          <w:numId w:val="13"/>
        </w:numPr>
        <w:tabs>
          <w:tab w:val="clear" w:pos="720"/>
          <w:tab w:val="num" w:pos="1440"/>
        </w:tabs>
        <w:spacing w:before="0" w:beforeAutospacing="0" w:after="0" w:afterAutospacing="0" w:line="276" w:lineRule="auto"/>
        <w:ind w:left="1800"/>
        <w:rPr>
          <w:rFonts w:ascii="Arial" w:hAnsi="Arial" w:cs="Arial"/>
          <w:sz w:val="20"/>
          <w:szCs w:val="20"/>
        </w:rPr>
      </w:pPr>
      <w:r w:rsidRPr="003B65A2">
        <w:rPr>
          <w:rStyle w:val="Strong"/>
          <w:rFonts w:ascii="Arial" w:hAnsi="Arial" w:cs="Arial"/>
          <w:b w:val="0"/>
          <w:bCs w:val="0"/>
          <w:sz w:val="20"/>
          <w:szCs w:val="20"/>
        </w:rPr>
        <w:t>Energy savings and light pollution reduction are not automatically aligned.</w:t>
      </w:r>
      <w:r w:rsidRPr="003B65A2">
        <w:rPr>
          <w:rFonts w:ascii="Arial" w:hAnsi="Arial" w:cs="Arial"/>
          <w:sz w:val="20"/>
          <w:szCs w:val="20"/>
        </w:rPr>
        <w:t xml:space="preserve"> Even with lower energy use and better shielding, skyglow can increase if spectral content is not addressed.</w:t>
      </w:r>
    </w:p>
    <w:p w14:paraId="37FA740B" w14:textId="77777777" w:rsidR="00EA222E" w:rsidRPr="003B65A2" w:rsidRDefault="00EA222E">
      <w:pPr>
        <w:pStyle w:val="jot-paragraph-element"/>
        <w:numPr>
          <w:ilvl w:val="0"/>
          <w:numId w:val="13"/>
        </w:numPr>
        <w:tabs>
          <w:tab w:val="clear" w:pos="720"/>
          <w:tab w:val="num" w:pos="1440"/>
        </w:tabs>
        <w:spacing w:before="0" w:beforeAutospacing="0" w:after="0" w:afterAutospacing="0" w:line="276" w:lineRule="auto"/>
        <w:ind w:left="1800"/>
        <w:rPr>
          <w:rFonts w:ascii="Arial" w:hAnsi="Arial" w:cs="Arial"/>
          <w:sz w:val="20"/>
          <w:szCs w:val="20"/>
        </w:rPr>
      </w:pPr>
      <w:r w:rsidRPr="003B65A2">
        <w:rPr>
          <w:rStyle w:val="Strong"/>
          <w:rFonts w:ascii="Arial" w:hAnsi="Arial" w:cs="Arial"/>
          <w:b w:val="0"/>
          <w:bCs w:val="0"/>
          <w:sz w:val="20"/>
          <w:szCs w:val="20"/>
        </w:rPr>
        <w:t>To reduce skyglow, communities should:</w:t>
      </w:r>
    </w:p>
    <w:p w14:paraId="1E42947A" w14:textId="77777777" w:rsidR="00EA222E" w:rsidRPr="003B65A2" w:rsidRDefault="00EA222E">
      <w:pPr>
        <w:pStyle w:val="jot-list-item-element"/>
        <w:numPr>
          <w:ilvl w:val="1"/>
          <w:numId w:val="13"/>
        </w:numPr>
        <w:tabs>
          <w:tab w:val="clear" w:pos="1440"/>
          <w:tab w:val="num" w:pos="2160"/>
        </w:tabs>
        <w:spacing w:before="0" w:beforeAutospacing="0" w:after="0" w:afterAutospacing="0" w:line="276" w:lineRule="auto"/>
        <w:ind w:left="2520"/>
        <w:rPr>
          <w:rFonts w:ascii="Arial" w:hAnsi="Arial" w:cs="Arial"/>
          <w:sz w:val="20"/>
          <w:szCs w:val="20"/>
        </w:rPr>
      </w:pPr>
      <w:r w:rsidRPr="003B65A2">
        <w:rPr>
          <w:rFonts w:ascii="Arial" w:hAnsi="Arial" w:cs="Arial"/>
          <w:sz w:val="20"/>
          <w:szCs w:val="20"/>
        </w:rPr>
        <w:t>Lower overall light levels by more than 50%.</w:t>
      </w:r>
    </w:p>
    <w:p w14:paraId="7B46E063" w14:textId="77777777" w:rsidR="00EA222E" w:rsidRPr="003B65A2" w:rsidRDefault="00EA222E">
      <w:pPr>
        <w:pStyle w:val="jot-list-item-element"/>
        <w:numPr>
          <w:ilvl w:val="1"/>
          <w:numId w:val="13"/>
        </w:numPr>
        <w:tabs>
          <w:tab w:val="clear" w:pos="1440"/>
          <w:tab w:val="num" w:pos="2160"/>
        </w:tabs>
        <w:spacing w:before="0" w:beforeAutospacing="0" w:after="0" w:afterAutospacing="0" w:line="276" w:lineRule="auto"/>
        <w:ind w:left="2520"/>
        <w:rPr>
          <w:rFonts w:ascii="Arial" w:hAnsi="Arial" w:cs="Arial"/>
          <w:sz w:val="20"/>
          <w:szCs w:val="20"/>
        </w:rPr>
      </w:pPr>
      <w:r w:rsidRPr="003B65A2">
        <w:rPr>
          <w:rFonts w:ascii="Arial" w:hAnsi="Arial" w:cs="Arial"/>
          <w:sz w:val="20"/>
          <w:szCs w:val="20"/>
        </w:rPr>
        <w:t>Use LEDs with warmer color temperatures (&lt;3000K).</w:t>
      </w:r>
    </w:p>
    <w:p w14:paraId="691B2E86" w14:textId="77777777" w:rsidR="00EA222E" w:rsidRPr="003B65A2" w:rsidRDefault="00EA222E">
      <w:pPr>
        <w:pStyle w:val="jot-list-item-element"/>
        <w:numPr>
          <w:ilvl w:val="1"/>
          <w:numId w:val="13"/>
        </w:numPr>
        <w:tabs>
          <w:tab w:val="clear" w:pos="1440"/>
          <w:tab w:val="num" w:pos="2160"/>
        </w:tabs>
        <w:spacing w:before="0" w:beforeAutospacing="0" w:after="0" w:afterAutospacing="0" w:line="276" w:lineRule="auto"/>
        <w:ind w:left="2520"/>
        <w:rPr>
          <w:rFonts w:ascii="Arial" w:hAnsi="Arial" w:cs="Arial"/>
          <w:sz w:val="20"/>
          <w:szCs w:val="20"/>
        </w:rPr>
      </w:pPr>
      <w:r w:rsidRPr="003B65A2">
        <w:rPr>
          <w:rFonts w:ascii="Arial" w:hAnsi="Arial" w:cs="Arial"/>
          <w:sz w:val="20"/>
          <w:szCs w:val="20"/>
        </w:rPr>
        <w:t>Consider adaptive controls (e.g., dimming during low-traffic periods).</w:t>
      </w:r>
    </w:p>
    <w:p w14:paraId="52D4AE8F" w14:textId="77777777" w:rsidR="00EA222E" w:rsidRPr="003B65A2" w:rsidRDefault="00EA222E">
      <w:pPr>
        <w:pStyle w:val="jot-list-item-element"/>
        <w:numPr>
          <w:ilvl w:val="0"/>
          <w:numId w:val="13"/>
        </w:numPr>
        <w:tabs>
          <w:tab w:val="clear" w:pos="720"/>
          <w:tab w:val="num" w:pos="1440"/>
        </w:tabs>
        <w:spacing w:before="0" w:beforeAutospacing="0" w:after="0" w:afterAutospacing="0" w:line="276" w:lineRule="auto"/>
        <w:ind w:left="1800"/>
        <w:rPr>
          <w:rFonts w:ascii="Arial" w:hAnsi="Arial" w:cs="Arial"/>
          <w:sz w:val="20"/>
          <w:szCs w:val="20"/>
        </w:rPr>
      </w:pPr>
      <w:r w:rsidRPr="003B65A2">
        <w:rPr>
          <w:rStyle w:val="Strong"/>
          <w:rFonts w:ascii="Arial" w:hAnsi="Arial" w:cs="Arial"/>
          <w:b w:val="0"/>
          <w:bCs w:val="0"/>
          <w:sz w:val="20"/>
          <w:szCs w:val="20"/>
        </w:rPr>
        <w:t>Satellite data alone is insufficient</w:t>
      </w:r>
      <w:r w:rsidRPr="003B65A2">
        <w:rPr>
          <w:rFonts w:ascii="Arial" w:hAnsi="Arial" w:cs="Arial"/>
          <w:sz w:val="20"/>
          <w:szCs w:val="20"/>
        </w:rPr>
        <w:t xml:space="preserve"> for assessing skyglow changes after LED retrofits; ground-based measurements are essential.</w:t>
      </w:r>
    </w:p>
    <w:p w14:paraId="443982A9" w14:textId="77777777" w:rsidR="00EA222E" w:rsidRPr="003B65A2" w:rsidRDefault="00EA222E" w:rsidP="005F7C7E">
      <w:pPr>
        <w:pStyle w:val="jot-paragraph-element"/>
        <w:spacing w:before="0" w:beforeAutospacing="0" w:after="0" w:afterAutospacing="0" w:line="276" w:lineRule="auto"/>
        <w:ind w:left="1080"/>
        <w:rPr>
          <w:rFonts w:ascii="Arial" w:hAnsi="Arial" w:cs="Arial"/>
          <w:sz w:val="20"/>
          <w:szCs w:val="20"/>
        </w:rPr>
      </w:pPr>
      <w:r w:rsidRPr="003B65A2">
        <w:rPr>
          <w:rStyle w:val="Strong"/>
          <w:rFonts w:ascii="Arial" w:hAnsi="Arial" w:cs="Arial"/>
          <w:b w:val="0"/>
          <w:bCs w:val="0"/>
          <w:sz w:val="20"/>
          <w:szCs w:val="20"/>
        </w:rPr>
        <w:t>Example Implementation:</w:t>
      </w:r>
    </w:p>
    <w:p w14:paraId="6D5657A5" w14:textId="77777777" w:rsidR="00EA222E" w:rsidRPr="003B65A2" w:rsidRDefault="00EA222E">
      <w:pPr>
        <w:pStyle w:val="jot-paragraph-element"/>
        <w:numPr>
          <w:ilvl w:val="0"/>
          <w:numId w:val="14"/>
        </w:numPr>
        <w:tabs>
          <w:tab w:val="clear" w:pos="720"/>
          <w:tab w:val="num" w:pos="1440"/>
        </w:tabs>
        <w:spacing w:before="0" w:beforeAutospacing="0" w:after="0" w:afterAutospacing="0" w:line="276" w:lineRule="auto"/>
        <w:ind w:left="1800"/>
        <w:rPr>
          <w:rFonts w:ascii="Arial" w:hAnsi="Arial" w:cs="Arial"/>
          <w:sz w:val="20"/>
          <w:szCs w:val="20"/>
        </w:rPr>
      </w:pPr>
      <w:r w:rsidRPr="003B65A2">
        <w:rPr>
          <w:rFonts w:ascii="Arial" w:hAnsi="Arial" w:cs="Arial"/>
          <w:sz w:val="20"/>
          <w:szCs w:val="20"/>
        </w:rPr>
        <w:t>If a city plans an LED retrofit, it should:</w:t>
      </w:r>
    </w:p>
    <w:p w14:paraId="246D555F" w14:textId="77777777" w:rsidR="00EA222E" w:rsidRPr="003B65A2" w:rsidRDefault="00EA222E">
      <w:pPr>
        <w:pStyle w:val="jot-list-item-element"/>
        <w:numPr>
          <w:ilvl w:val="1"/>
          <w:numId w:val="14"/>
        </w:numPr>
        <w:tabs>
          <w:tab w:val="clear" w:pos="1440"/>
          <w:tab w:val="num" w:pos="2160"/>
        </w:tabs>
        <w:spacing w:before="0" w:beforeAutospacing="0" w:after="0" w:afterAutospacing="0" w:line="276" w:lineRule="auto"/>
        <w:ind w:left="2520"/>
        <w:rPr>
          <w:rFonts w:ascii="Arial" w:hAnsi="Arial" w:cs="Arial"/>
          <w:sz w:val="20"/>
          <w:szCs w:val="20"/>
        </w:rPr>
      </w:pPr>
      <w:r w:rsidRPr="003B65A2">
        <w:rPr>
          <w:rFonts w:ascii="Arial" w:hAnsi="Arial" w:cs="Arial"/>
          <w:sz w:val="20"/>
          <w:szCs w:val="20"/>
        </w:rPr>
        <w:t>Choose LEDs with color temperatures below 3000K.</w:t>
      </w:r>
    </w:p>
    <w:p w14:paraId="1170DDBA" w14:textId="77777777" w:rsidR="00EA222E" w:rsidRPr="003B65A2" w:rsidRDefault="00EA222E">
      <w:pPr>
        <w:pStyle w:val="jot-list-item-element"/>
        <w:numPr>
          <w:ilvl w:val="1"/>
          <w:numId w:val="14"/>
        </w:numPr>
        <w:tabs>
          <w:tab w:val="clear" w:pos="1440"/>
          <w:tab w:val="num" w:pos="2160"/>
        </w:tabs>
        <w:spacing w:before="0" w:beforeAutospacing="0" w:after="0" w:afterAutospacing="0" w:line="276" w:lineRule="auto"/>
        <w:ind w:left="2520"/>
        <w:rPr>
          <w:rFonts w:ascii="Arial" w:hAnsi="Arial" w:cs="Arial"/>
          <w:sz w:val="20"/>
          <w:szCs w:val="20"/>
        </w:rPr>
      </w:pPr>
      <w:r w:rsidRPr="003B65A2">
        <w:rPr>
          <w:rFonts w:ascii="Arial" w:hAnsi="Arial" w:cs="Arial"/>
          <w:sz w:val="20"/>
          <w:szCs w:val="20"/>
        </w:rPr>
        <w:t>Reduce the number and brightness of fixtures where possible.</w:t>
      </w:r>
    </w:p>
    <w:p w14:paraId="31F6F599" w14:textId="77777777" w:rsidR="00EA222E" w:rsidRPr="003B65A2" w:rsidRDefault="00EA222E">
      <w:pPr>
        <w:pStyle w:val="jot-list-item-element"/>
        <w:numPr>
          <w:ilvl w:val="1"/>
          <w:numId w:val="14"/>
        </w:numPr>
        <w:tabs>
          <w:tab w:val="clear" w:pos="1440"/>
          <w:tab w:val="num" w:pos="2160"/>
        </w:tabs>
        <w:spacing w:before="0" w:beforeAutospacing="0" w:after="0" w:afterAutospacing="0" w:line="276" w:lineRule="auto"/>
        <w:ind w:left="2520"/>
        <w:rPr>
          <w:rFonts w:ascii="Arial" w:hAnsi="Arial" w:cs="Arial"/>
          <w:sz w:val="20"/>
          <w:szCs w:val="20"/>
        </w:rPr>
      </w:pPr>
      <w:r w:rsidRPr="003B65A2">
        <w:rPr>
          <w:rFonts w:ascii="Arial" w:hAnsi="Arial" w:cs="Arial"/>
          <w:sz w:val="20"/>
          <w:szCs w:val="20"/>
        </w:rPr>
        <w:t>Install adaptive lighting controls.</w:t>
      </w:r>
    </w:p>
    <w:p w14:paraId="6A38BDEE" w14:textId="77777777" w:rsidR="00EA222E" w:rsidRPr="003B65A2" w:rsidRDefault="00EA222E">
      <w:pPr>
        <w:pStyle w:val="jot-list-item-element"/>
        <w:numPr>
          <w:ilvl w:val="1"/>
          <w:numId w:val="14"/>
        </w:numPr>
        <w:tabs>
          <w:tab w:val="clear" w:pos="1440"/>
          <w:tab w:val="num" w:pos="2160"/>
        </w:tabs>
        <w:spacing w:before="0" w:beforeAutospacing="0" w:after="0" w:afterAutospacing="0" w:line="276" w:lineRule="auto"/>
        <w:ind w:left="2520"/>
        <w:rPr>
          <w:rFonts w:ascii="Arial" w:hAnsi="Arial" w:cs="Arial"/>
          <w:sz w:val="20"/>
          <w:szCs w:val="20"/>
        </w:rPr>
      </w:pPr>
      <w:r w:rsidRPr="003B65A2">
        <w:rPr>
          <w:rFonts w:ascii="Arial" w:hAnsi="Arial" w:cs="Arial"/>
          <w:sz w:val="20"/>
          <w:szCs w:val="20"/>
        </w:rPr>
        <w:t>Monitor skyglow with calibrated ground-based instruments before and after the retrofit.</w:t>
      </w:r>
    </w:p>
    <w:p w14:paraId="17D4A4D5" w14:textId="77777777" w:rsidR="003B65A2" w:rsidRPr="003B65A2" w:rsidRDefault="00EA222E" w:rsidP="003B65A2">
      <w:pPr>
        <w:pStyle w:val="jot-paragraph-element"/>
        <w:spacing w:before="0" w:beforeAutospacing="0" w:after="0" w:afterAutospacing="0" w:line="276" w:lineRule="auto"/>
        <w:ind w:left="1080"/>
        <w:rPr>
          <w:rFonts w:ascii="Arial" w:hAnsi="Arial" w:cs="Arial"/>
          <w:sz w:val="20"/>
          <w:szCs w:val="20"/>
        </w:rPr>
      </w:pPr>
      <w:r w:rsidRPr="003B65A2">
        <w:rPr>
          <w:rStyle w:val="Strong"/>
          <w:rFonts w:ascii="Arial" w:hAnsi="Arial" w:cs="Arial"/>
          <w:sz w:val="20"/>
          <w:szCs w:val="20"/>
        </w:rPr>
        <w:t>In summary:</w:t>
      </w:r>
      <w:r w:rsidRPr="003B65A2">
        <w:rPr>
          <w:rFonts w:ascii="Arial" w:hAnsi="Arial" w:cs="Arial"/>
          <w:sz w:val="20"/>
          <w:szCs w:val="20"/>
        </w:rPr>
        <w:t xml:space="preserve"> The Chelan County LED retrofit increased skyglow as measured from the ground, despite energy savings and improved fixture shielding. This was primarily due to the increased blue light emission from LEDs, which is not well detected by satellites but significantly affects night sky brightness. Effective skyglow reduction requires careful attention to both light levels and spectral characteristics.</w:t>
      </w:r>
    </w:p>
    <w:p w14:paraId="202D39B0" w14:textId="77777777" w:rsidR="003B65A2" w:rsidRPr="003B65A2" w:rsidRDefault="003B65A2" w:rsidP="003B65A2">
      <w:pPr>
        <w:pStyle w:val="jot-paragraph-element"/>
        <w:spacing w:before="0" w:beforeAutospacing="0" w:after="0" w:afterAutospacing="0" w:line="276" w:lineRule="auto"/>
        <w:ind w:left="1080"/>
        <w:rPr>
          <w:rFonts w:ascii="Arial" w:hAnsi="Arial" w:cs="Arial"/>
          <w:sz w:val="20"/>
          <w:szCs w:val="20"/>
        </w:rPr>
      </w:pPr>
    </w:p>
    <w:p w14:paraId="41EC8FE9" w14:textId="77777777" w:rsidR="003B65A2" w:rsidRPr="003B65A2" w:rsidRDefault="00EA222E">
      <w:pPr>
        <w:pStyle w:val="jot-paragraph-element"/>
        <w:numPr>
          <w:ilvl w:val="0"/>
          <w:numId w:val="15"/>
        </w:numPr>
        <w:spacing w:before="0" w:beforeAutospacing="0" w:after="0" w:afterAutospacing="0" w:line="276" w:lineRule="auto"/>
        <w:rPr>
          <w:rFonts w:ascii="Arial" w:hAnsi="Arial" w:cs="Arial"/>
        </w:rPr>
      </w:pPr>
      <w:r w:rsidRPr="003B65A2">
        <w:rPr>
          <w:rFonts w:ascii="Arial" w:hAnsi="Arial" w:cs="Arial"/>
          <w:sz w:val="20"/>
          <w:szCs w:val="20"/>
        </w:rPr>
        <w:t xml:space="preserve">Zheng, Q., Mu, T., Zhu, X., Tan, X., Zhou, Y., Li, J., &amp; He, S.Y. (2026). </w:t>
      </w:r>
      <w:r w:rsidRPr="003B65A2">
        <w:rPr>
          <w:rFonts w:ascii="Arial" w:hAnsi="Arial" w:cs="Arial"/>
          <w:b/>
          <w:bCs/>
          <w:sz w:val="20"/>
          <w:szCs w:val="20"/>
        </w:rPr>
        <w:t>Robust reconstruction of seamless daily VIIRS nighttime light imagery with cloud mask refinement and multi-strategy spatiotemporal gap-filling.</w:t>
      </w:r>
      <w:r w:rsidRPr="003B65A2">
        <w:rPr>
          <w:rFonts w:ascii="Arial" w:hAnsi="Arial" w:cs="Arial"/>
          <w:sz w:val="20"/>
          <w:szCs w:val="20"/>
        </w:rPr>
        <w:t xml:space="preserve"> Remote Se</w:t>
      </w:r>
      <w:r w:rsidRPr="003B65A2">
        <w:rPr>
          <w:rFonts w:ascii="Arial" w:hAnsi="Arial" w:cs="Arial"/>
          <w:i/>
          <w:iCs/>
          <w:sz w:val="20"/>
          <w:szCs w:val="20"/>
        </w:rPr>
        <w:t>nsing of Environment, 337</w:t>
      </w:r>
      <w:r w:rsidR="005F7C7E" w:rsidRPr="003B65A2">
        <w:rPr>
          <w:rFonts w:ascii="Arial" w:hAnsi="Arial" w:cs="Arial"/>
          <w:i/>
          <w:iCs/>
          <w:sz w:val="20"/>
          <w:szCs w:val="20"/>
        </w:rPr>
        <w:t xml:space="preserve">, </w:t>
      </w:r>
      <w:hyperlink r:id="rId10" w:history="1">
        <w:r w:rsidR="005F7C7E" w:rsidRPr="003B65A2">
          <w:rPr>
            <w:rStyle w:val="Hyperlink"/>
            <w:rFonts w:ascii="Arial" w:hAnsi="Arial" w:cs="Arial"/>
            <w:sz w:val="20"/>
            <w:szCs w:val="20"/>
          </w:rPr>
          <w:t>https://doi.org/10.1016/j.rse.2026.115328</w:t>
        </w:r>
      </w:hyperlink>
    </w:p>
    <w:p w14:paraId="181E07BE" w14:textId="77777777" w:rsidR="003B65A2" w:rsidRPr="003B65A2" w:rsidRDefault="003B65A2" w:rsidP="003B65A2">
      <w:pPr>
        <w:pStyle w:val="jot-paragraph-element"/>
        <w:spacing w:before="0" w:beforeAutospacing="0" w:after="0" w:afterAutospacing="0" w:line="276" w:lineRule="auto"/>
        <w:ind w:left="1080"/>
        <w:rPr>
          <w:rFonts w:ascii="Arial" w:hAnsi="Arial" w:cs="Arial"/>
          <w:sz w:val="20"/>
          <w:szCs w:val="20"/>
        </w:rPr>
      </w:pPr>
    </w:p>
    <w:p w14:paraId="6EA2CA1C" w14:textId="7E4E2CEA" w:rsidR="005F7C7E" w:rsidRPr="003B65A2" w:rsidRDefault="005F7C7E" w:rsidP="003B65A2">
      <w:pPr>
        <w:pStyle w:val="jot-paragraph-element"/>
        <w:spacing w:before="0" w:beforeAutospacing="0" w:after="0" w:afterAutospacing="0" w:line="276" w:lineRule="auto"/>
        <w:ind w:left="1080"/>
        <w:rPr>
          <w:rFonts w:ascii="Arial" w:hAnsi="Arial" w:cs="Arial"/>
          <w:sz w:val="20"/>
          <w:szCs w:val="20"/>
        </w:rPr>
      </w:pPr>
      <w:r w:rsidRPr="003B65A2">
        <w:rPr>
          <w:rFonts w:ascii="Arial" w:hAnsi="Arial" w:cs="Arial"/>
          <w:sz w:val="20"/>
          <w:szCs w:val="20"/>
        </w:rPr>
        <w:t>1. Background and Motivation</w:t>
      </w:r>
    </w:p>
    <w:p w14:paraId="76308550" w14:textId="4F4FC0AC" w:rsidR="005F7C7E" w:rsidRPr="003B65A2" w:rsidRDefault="005F7C7E">
      <w:pPr>
        <w:pStyle w:val="ReferenceTitle"/>
        <w:numPr>
          <w:ilvl w:val="0"/>
          <w:numId w:val="16"/>
        </w:numPr>
        <w:spacing w:line="276" w:lineRule="auto"/>
      </w:pPr>
      <w:r w:rsidRPr="003B65A2">
        <w:lastRenderedPageBreak/>
        <w:t>Daily VIIRS Nighttime Light (NTL) data are valuable for monitoring human activities, urbanization, socioeconomic variables, light pollution, and disaster impacts.</w:t>
      </w:r>
    </w:p>
    <w:p w14:paraId="3E77328B" w14:textId="11D101D5" w:rsidR="005F7C7E" w:rsidRPr="003B65A2" w:rsidRDefault="005F7C7E">
      <w:pPr>
        <w:pStyle w:val="ReferenceTitle"/>
        <w:numPr>
          <w:ilvl w:val="0"/>
          <w:numId w:val="16"/>
        </w:numPr>
        <w:spacing w:line="276" w:lineRule="auto"/>
      </w:pPr>
      <w:r w:rsidRPr="003B65A2">
        <w:t>The utility of daily NTL data is limited by pervasive data gaps, mainly due to cloud contamination and poor-quality observations. About 30–70% of daily observations per pixel are missing.</w:t>
      </w:r>
    </w:p>
    <w:p w14:paraId="7DDAC84C" w14:textId="1A401508" w:rsidR="005F7C7E" w:rsidRPr="003B65A2" w:rsidRDefault="005F7C7E">
      <w:pPr>
        <w:pStyle w:val="ReferenceTitle"/>
        <w:numPr>
          <w:ilvl w:val="0"/>
          <w:numId w:val="16"/>
        </w:numPr>
        <w:spacing w:line="276" w:lineRule="auto"/>
      </w:pPr>
      <w:r w:rsidRPr="003B65A2">
        <w:t>Existing gap-filling methods are hampered by under-detected clouds, limited applicability in dense gap scenarios, and insufficient robustness assessments.</w:t>
      </w:r>
    </w:p>
    <w:p w14:paraId="4D430897" w14:textId="77777777" w:rsidR="005F7C7E" w:rsidRPr="003B65A2" w:rsidRDefault="005F7C7E" w:rsidP="005F7C7E">
      <w:pPr>
        <w:pStyle w:val="ReferenceTitle"/>
        <w:spacing w:line="276" w:lineRule="auto"/>
        <w:ind w:left="1080"/>
      </w:pPr>
      <w:r w:rsidRPr="003B65A2">
        <w:t>2. Novel Contributions</w:t>
      </w:r>
    </w:p>
    <w:p w14:paraId="1FAD61CC" w14:textId="2D312421" w:rsidR="005F7C7E" w:rsidRPr="003B65A2" w:rsidRDefault="005F7C7E">
      <w:pPr>
        <w:pStyle w:val="ReferenceTitle"/>
        <w:numPr>
          <w:ilvl w:val="0"/>
          <w:numId w:val="17"/>
        </w:numPr>
        <w:spacing w:line="276" w:lineRule="auto"/>
      </w:pPr>
      <w:r w:rsidRPr="003B65A2">
        <w:t>The study introduces a robust spatiotemporal gap-filling framework for seamless daily VIIRS NTL imagery.</w:t>
      </w:r>
    </w:p>
    <w:p w14:paraId="598D99E3" w14:textId="5143DF74" w:rsidR="005F7C7E" w:rsidRPr="003B65A2" w:rsidRDefault="005F7C7E">
      <w:pPr>
        <w:pStyle w:val="ReferenceTitle"/>
        <w:numPr>
          <w:ilvl w:val="0"/>
          <w:numId w:val="17"/>
        </w:numPr>
        <w:spacing w:line="276" w:lineRule="auto"/>
      </w:pPr>
      <w:r w:rsidRPr="003B65A2">
        <w:t xml:space="preserve">Key innovations include: </w:t>
      </w:r>
    </w:p>
    <w:p w14:paraId="28557DF2" w14:textId="14E840E9" w:rsidR="005F7C7E" w:rsidRPr="003B65A2" w:rsidRDefault="005F7C7E">
      <w:pPr>
        <w:pStyle w:val="ReferenceTitle"/>
        <w:numPr>
          <w:ilvl w:val="1"/>
          <w:numId w:val="17"/>
        </w:numPr>
        <w:spacing w:line="276" w:lineRule="auto"/>
      </w:pPr>
      <w:r w:rsidRPr="003B65A2">
        <w:t>A refined cloud mask using a random forest model to better detect and remove under-detected cloud-contaminated pixels.</w:t>
      </w:r>
    </w:p>
    <w:p w14:paraId="72CD76A4" w14:textId="2D0EDF19" w:rsidR="005F7C7E" w:rsidRPr="003B65A2" w:rsidRDefault="005F7C7E">
      <w:pPr>
        <w:pStyle w:val="ReferenceTitle"/>
        <w:numPr>
          <w:ilvl w:val="1"/>
          <w:numId w:val="17"/>
        </w:numPr>
        <w:spacing w:line="276" w:lineRule="auto"/>
      </w:pPr>
      <w:r w:rsidRPr="003B65A2">
        <w:t>Stringent criteria for identifying spatiotemporally similar pixels, leveraging both spatial and temporal characteristics (using K-means clustering, BEAST algorithm for change detection, and Dynamic Time Warping for trajectory similarity).</w:t>
      </w:r>
    </w:p>
    <w:p w14:paraId="4F4D6797" w14:textId="2E917B41" w:rsidR="005F7C7E" w:rsidRPr="003B65A2" w:rsidRDefault="005F7C7E">
      <w:pPr>
        <w:pStyle w:val="ReferenceTitle"/>
        <w:numPr>
          <w:ilvl w:val="1"/>
          <w:numId w:val="17"/>
        </w:numPr>
        <w:spacing w:line="276" w:lineRule="auto"/>
      </w:pPr>
      <w:r w:rsidRPr="003B65A2">
        <w:t>A multi-strategy gap-filling approach that adapts to the availability of similar pixels, including the use of pixels that are themselves data gaps at the target date.</w:t>
      </w:r>
    </w:p>
    <w:p w14:paraId="678BE8FD" w14:textId="77777777" w:rsidR="005F7C7E" w:rsidRPr="003B65A2" w:rsidRDefault="005F7C7E" w:rsidP="005F7C7E">
      <w:pPr>
        <w:pStyle w:val="ReferenceTitle"/>
        <w:spacing w:line="276" w:lineRule="auto"/>
        <w:ind w:left="1080"/>
      </w:pPr>
      <w:r w:rsidRPr="003B65A2">
        <w:t>3. Methodology</w:t>
      </w:r>
    </w:p>
    <w:p w14:paraId="7D7629A4" w14:textId="0869BC77" w:rsidR="005F7C7E" w:rsidRPr="003B65A2" w:rsidRDefault="005F7C7E">
      <w:pPr>
        <w:pStyle w:val="ReferenceTitle"/>
        <w:numPr>
          <w:ilvl w:val="0"/>
          <w:numId w:val="18"/>
        </w:numPr>
        <w:spacing w:line="276" w:lineRule="auto"/>
      </w:pPr>
      <w:r w:rsidRPr="003B65A2">
        <w:t xml:space="preserve">The framework consists of: </w:t>
      </w:r>
    </w:p>
    <w:p w14:paraId="392882D2" w14:textId="5B6FE93C" w:rsidR="005F7C7E" w:rsidRPr="003B65A2" w:rsidRDefault="005F7C7E">
      <w:pPr>
        <w:pStyle w:val="ReferenceTitle"/>
        <w:numPr>
          <w:ilvl w:val="0"/>
          <w:numId w:val="19"/>
        </w:numPr>
        <w:spacing w:line="276" w:lineRule="auto"/>
      </w:pPr>
      <w:r w:rsidRPr="003B65A2">
        <w:t>Data Pre-processing: Denoising, angular correction, and refined cloud masking.</w:t>
      </w:r>
    </w:p>
    <w:p w14:paraId="622F9112" w14:textId="51FF62B8" w:rsidR="005F7C7E" w:rsidRPr="003B65A2" w:rsidRDefault="005F7C7E">
      <w:pPr>
        <w:pStyle w:val="ReferenceTitle"/>
        <w:numPr>
          <w:ilvl w:val="0"/>
          <w:numId w:val="19"/>
        </w:numPr>
        <w:spacing w:line="276" w:lineRule="auto"/>
      </w:pPr>
      <w:r w:rsidRPr="003B65A2">
        <w:t>Similar Pixel Search: Identifies pixels with similar spatial and temporal patterns using advanced algorithms.</w:t>
      </w:r>
    </w:p>
    <w:p w14:paraId="55DD5720" w14:textId="4D7B1106" w:rsidR="005F7C7E" w:rsidRPr="003B65A2" w:rsidRDefault="005F7C7E">
      <w:pPr>
        <w:pStyle w:val="ReferenceTitle"/>
        <w:numPr>
          <w:ilvl w:val="0"/>
          <w:numId w:val="19"/>
        </w:numPr>
        <w:spacing w:line="276" w:lineRule="auto"/>
      </w:pPr>
      <w:r w:rsidRPr="003B65A2">
        <w:t>Multi-strategy Gap-filling:</w:t>
      </w:r>
    </w:p>
    <w:p w14:paraId="27643C92" w14:textId="4685CBE9" w:rsidR="005F7C7E" w:rsidRPr="003B65A2" w:rsidRDefault="005F7C7E">
      <w:pPr>
        <w:pStyle w:val="ReferenceTitle"/>
        <w:numPr>
          <w:ilvl w:val="1"/>
          <w:numId w:val="18"/>
        </w:numPr>
        <w:spacing w:line="276" w:lineRule="auto"/>
      </w:pPr>
      <w:r w:rsidRPr="003B65A2">
        <w:t>Uses valid similar pixels when available (Type 1).</w:t>
      </w:r>
    </w:p>
    <w:p w14:paraId="4B746DA0" w14:textId="15EC7939" w:rsidR="005F7C7E" w:rsidRPr="003B65A2" w:rsidRDefault="005F7C7E">
      <w:pPr>
        <w:pStyle w:val="ReferenceTitle"/>
        <w:numPr>
          <w:ilvl w:val="1"/>
          <w:numId w:val="18"/>
        </w:numPr>
        <w:spacing w:line="276" w:lineRule="auto"/>
      </w:pPr>
      <w:r w:rsidRPr="003B65A2">
        <w:t>Uses similar pixels that are data gaps at the target date (Type 2) when Type 1 is unavailable.</w:t>
      </w:r>
    </w:p>
    <w:p w14:paraId="4C9E82FE" w14:textId="2B6FAA37" w:rsidR="005F7C7E" w:rsidRPr="003B65A2" w:rsidRDefault="005F7C7E">
      <w:pPr>
        <w:pStyle w:val="ReferenceTitle"/>
        <w:numPr>
          <w:ilvl w:val="1"/>
          <w:numId w:val="18"/>
        </w:numPr>
        <w:spacing w:line="276" w:lineRule="auto"/>
      </w:pPr>
      <w:r w:rsidRPr="003B65A2">
        <w:t>R</w:t>
      </w:r>
      <w:r w:rsidRPr="003B65A2">
        <w:t>esorts to high-quality adjacent pixels (Type 3) if neither Type 1 nor Type 2 are available.</w:t>
      </w:r>
    </w:p>
    <w:p w14:paraId="78142B61" w14:textId="5E50F843" w:rsidR="005F7C7E" w:rsidRPr="003B65A2" w:rsidRDefault="005F7C7E">
      <w:pPr>
        <w:pStyle w:val="ReferenceTitle"/>
        <w:numPr>
          <w:ilvl w:val="0"/>
          <w:numId w:val="18"/>
        </w:numPr>
        <w:spacing w:line="276" w:lineRule="auto"/>
      </w:pPr>
      <w:r w:rsidRPr="003B65A2">
        <w:t>The method was tested on 30 globally diverse cities using NASA's Black Marble VIIRS NTL product.</w:t>
      </w:r>
    </w:p>
    <w:p w14:paraId="38D111AA" w14:textId="77777777" w:rsidR="005F7C7E" w:rsidRPr="003B65A2" w:rsidRDefault="005F7C7E" w:rsidP="005F7C7E">
      <w:pPr>
        <w:pStyle w:val="ReferenceTitle"/>
        <w:spacing w:line="276" w:lineRule="auto"/>
        <w:ind w:left="1080"/>
      </w:pPr>
      <w:r w:rsidRPr="003B65A2">
        <w:t>4. Evaluation and Results</w:t>
      </w:r>
    </w:p>
    <w:p w14:paraId="479F701D" w14:textId="7BBAE11E" w:rsidR="005F7C7E" w:rsidRPr="003B65A2" w:rsidRDefault="005F7C7E">
      <w:pPr>
        <w:pStyle w:val="ReferenceTitle"/>
        <w:numPr>
          <w:ilvl w:val="0"/>
          <w:numId w:val="20"/>
        </w:numPr>
        <w:spacing w:line="276" w:lineRule="auto"/>
      </w:pPr>
      <w:r w:rsidRPr="003B65A2">
        <w:t xml:space="preserve">The refined cloud mask improved overall accuracy to 91% and revealed that 39% of pixels labeled as valid in the original product were </w:t>
      </w:r>
      <w:proofErr w:type="gramStart"/>
      <w:r w:rsidRPr="003B65A2">
        <w:t>actually cloud-contaminated</w:t>
      </w:r>
      <w:proofErr w:type="gramEnd"/>
      <w:r w:rsidRPr="003B65A2">
        <w:t>.</w:t>
      </w:r>
    </w:p>
    <w:p w14:paraId="4A9CDBB5" w14:textId="4B5B2C5E" w:rsidR="005F7C7E" w:rsidRPr="003B65A2" w:rsidRDefault="005F7C7E">
      <w:pPr>
        <w:pStyle w:val="ReferenceTitle"/>
        <w:numPr>
          <w:ilvl w:val="0"/>
          <w:numId w:val="20"/>
        </w:numPr>
        <w:spacing w:line="276" w:lineRule="auto"/>
      </w:pPr>
      <w:r w:rsidRPr="003B65A2">
        <w:t xml:space="preserve">The proposed gap-filling method outperformed two leading methods (CRYSTAL and Hao's method) across various simulated and real-world scenarios: </w:t>
      </w:r>
    </w:p>
    <w:p w14:paraId="7EA57A0E" w14:textId="1D661030" w:rsidR="005F7C7E" w:rsidRPr="003B65A2" w:rsidRDefault="005F7C7E">
      <w:pPr>
        <w:pStyle w:val="ReferenceTitle"/>
        <w:numPr>
          <w:ilvl w:val="1"/>
          <w:numId w:val="20"/>
        </w:numPr>
        <w:spacing w:line="276" w:lineRule="auto"/>
      </w:pPr>
      <w:r w:rsidRPr="003B65A2">
        <w:t xml:space="preserve">Achieved higher accuracy (R2 = 0.80–0.85, RMSE = 2.13–10.84 </w:t>
      </w:r>
      <w:proofErr w:type="spellStart"/>
      <w:r w:rsidRPr="003B65A2">
        <w:t>nW</w:t>
      </w:r>
      <w:proofErr w:type="spellEnd"/>
      <w:r w:rsidRPr="003B65A2">
        <w:t>/cm2/</w:t>
      </w:r>
      <w:proofErr w:type="spellStart"/>
      <w:r w:rsidRPr="003B65A2">
        <w:t>sr</w:t>
      </w:r>
      <w:proofErr w:type="spellEnd"/>
      <w:r w:rsidRPr="003B65A2">
        <w:t>).</w:t>
      </w:r>
    </w:p>
    <w:p w14:paraId="2D4859FB" w14:textId="6F87B30A" w:rsidR="005F7C7E" w:rsidRPr="003B65A2" w:rsidRDefault="005F7C7E">
      <w:pPr>
        <w:pStyle w:val="ReferenceTitle"/>
        <w:numPr>
          <w:ilvl w:val="1"/>
          <w:numId w:val="20"/>
        </w:numPr>
        <w:spacing w:line="276" w:lineRule="auto"/>
      </w:pPr>
      <w:r w:rsidRPr="003B65A2">
        <w:t>Maintained robust performance under abrupt NTL changes, dense data gaps, and high cloud contamination.</w:t>
      </w:r>
    </w:p>
    <w:p w14:paraId="4BB0C56E" w14:textId="43EC69EA" w:rsidR="005F7C7E" w:rsidRPr="003B65A2" w:rsidRDefault="005F7C7E">
      <w:pPr>
        <w:pStyle w:val="ReferenceTitle"/>
        <w:numPr>
          <w:ilvl w:val="1"/>
          <w:numId w:val="20"/>
        </w:numPr>
        <w:spacing w:line="276" w:lineRule="auto"/>
      </w:pPr>
      <w:r w:rsidRPr="003B65A2">
        <w:t>Demonstrated superior ability to reconstruct NTL images during Hurricane Maria, closely matching official electricity recovery data (correlation coefficient = 0.95).</w:t>
      </w:r>
    </w:p>
    <w:p w14:paraId="5792DF3B" w14:textId="7128417C" w:rsidR="005F7C7E" w:rsidRPr="003B65A2" w:rsidRDefault="005F7C7E">
      <w:pPr>
        <w:pStyle w:val="ReferenceTitle"/>
        <w:numPr>
          <w:ilvl w:val="0"/>
          <w:numId w:val="20"/>
        </w:numPr>
        <w:spacing w:line="276" w:lineRule="auto"/>
      </w:pPr>
      <w:r w:rsidRPr="003B65A2">
        <w:t>The method's stringent similar-pixel search and multi-strategy approach led to more accurate and stable reconstructions, especially in challenging conditions.</w:t>
      </w:r>
    </w:p>
    <w:p w14:paraId="388AC535" w14:textId="77777777" w:rsidR="005F7C7E" w:rsidRPr="003B65A2" w:rsidRDefault="005F7C7E" w:rsidP="005F7C7E">
      <w:pPr>
        <w:pStyle w:val="ReferenceTitle"/>
        <w:spacing w:line="276" w:lineRule="auto"/>
        <w:ind w:left="1080"/>
      </w:pPr>
      <w:r w:rsidRPr="003B65A2">
        <w:t>5. Implications and Applications</w:t>
      </w:r>
    </w:p>
    <w:p w14:paraId="3EBC55E0" w14:textId="48485CEA" w:rsidR="005F7C7E" w:rsidRPr="003B65A2" w:rsidRDefault="005F7C7E">
      <w:pPr>
        <w:pStyle w:val="ReferenceTitle"/>
        <w:numPr>
          <w:ilvl w:val="0"/>
          <w:numId w:val="21"/>
        </w:numPr>
        <w:spacing w:line="276" w:lineRule="auto"/>
      </w:pPr>
      <w:r w:rsidRPr="003B65A2">
        <w:t>The resulting seamless daily NTL data enable more reliable monitoring of human activity, disaster recovery, and environmental impacts.</w:t>
      </w:r>
    </w:p>
    <w:p w14:paraId="5A374120" w14:textId="1B215DD1" w:rsidR="005F7C7E" w:rsidRPr="003B65A2" w:rsidRDefault="005F7C7E">
      <w:pPr>
        <w:pStyle w:val="ReferenceTitle"/>
        <w:numPr>
          <w:ilvl w:val="0"/>
          <w:numId w:val="21"/>
        </w:numPr>
        <w:spacing w:line="276" w:lineRule="auto"/>
      </w:pPr>
      <w:r w:rsidRPr="003B65A2">
        <w:lastRenderedPageBreak/>
        <w:t>The method provides a pixel-type indicator layer, allowing users to trace reconstruction quality and uncertainties.</w:t>
      </w:r>
    </w:p>
    <w:p w14:paraId="14CA3ECC" w14:textId="6A18E879" w:rsidR="005F7C7E" w:rsidRPr="003B65A2" w:rsidRDefault="005F7C7E">
      <w:pPr>
        <w:pStyle w:val="ReferenceTitle"/>
        <w:numPr>
          <w:ilvl w:val="0"/>
          <w:numId w:val="21"/>
        </w:numPr>
        <w:spacing w:line="276" w:lineRule="auto"/>
      </w:pPr>
      <w:r w:rsidRPr="003B65A2">
        <w:t>The approach supports new applications, such as near real-time change detection and fine-scale analysis of human activity patterns.</w:t>
      </w:r>
    </w:p>
    <w:p w14:paraId="2DD7C73E" w14:textId="77777777" w:rsidR="005F7C7E" w:rsidRPr="003B65A2" w:rsidRDefault="005F7C7E" w:rsidP="005F7C7E">
      <w:pPr>
        <w:pStyle w:val="ReferenceTitle"/>
        <w:spacing w:line="276" w:lineRule="auto"/>
        <w:ind w:left="1080"/>
      </w:pPr>
      <w:r w:rsidRPr="003B65A2">
        <w:t>6. Limitations</w:t>
      </w:r>
    </w:p>
    <w:p w14:paraId="4A0352AA" w14:textId="0980A458" w:rsidR="005F7C7E" w:rsidRPr="003B65A2" w:rsidRDefault="005F7C7E">
      <w:pPr>
        <w:pStyle w:val="ReferenceTitle"/>
        <w:numPr>
          <w:ilvl w:val="0"/>
          <w:numId w:val="22"/>
        </w:numPr>
        <w:spacing w:line="276" w:lineRule="auto"/>
      </w:pPr>
      <w:r w:rsidRPr="003B65A2">
        <w:t>The refined cloud mask still has a 9% omission error, especially for low clouds and high-elevation cities.</w:t>
      </w:r>
    </w:p>
    <w:p w14:paraId="7C8725FC" w14:textId="272D87A1" w:rsidR="005F7C7E" w:rsidRPr="003B65A2" w:rsidRDefault="005F7C7E">
      <w:pPr>
        <w:pStyle w:val="ReferenceTitle"/>
        <w:numPr>
          <w:ilvl w:val="0"/>
          <w:numId w:val="22"/>
        </w:numPr>
        <w:spacing w:line="276" w:lineRule="auto"/>
      </w:pPr>
      <w:r w:rsidRPr="003B65A2">
        <w:t>The method is computationally more demanding than some alternatives, though efficiency improves for time series reconstruction.</w:t>
      </w:r>
    </w:p>
    <w:p w14:paraId="67C939C4" w14:textId="18B90627" w:rsidR="005F7C7E" w:rsidRPr="003B65A2" w:rsidRDefault="005F7C7E">
      <w:pPr>
        <w:pStyle w:val="ReferenceTitle"/>
        <w:numPr>
          <w:ilvl w:val="0"/>
          <w:numId w:val="22"/>
        </w:numPr>
        <w:spacing w:line="276" w:lineRule="auto"/>
      </w:pPr>
      <w:r w:rsidRPr="003B65A2">
        <w:t>Broader validation and operationalization are needed for global, real-time applications.</w:t>
      </w:r>
    </w:p>
    <w:p w14:paraId="2DBA12C2" w14:textId="0D2DD7C5" w:rsidR="005F7C7E" w:rsidRPr="003B65A2" w:rsidRDefault="005F7C7E">
      <w:pPr>
        <w:pStyle w:val="ReferenceTitle"/>
        <w:numPr>
          <w:ilvl w:val="0"/>
          <w:numId w:val="22"/>
        </w:numPr>
        <w:spacing w:line="276" w:lineRule="auto"/>
      </w:pPr>
      <w:r w:rsidRPr="003B65A2">
        <w:t>Short-term abrupt changes with continuous dense gaps remain challenging to reconstruct accurately.</w:t>
      </w:r>
    </w:p>
    <w:p w14:paraId="566E6E4C" w14:textId="77777777" w:rsidR="005F7C7E" w:rsidRPr="003B65A2" w:rsidRDefault="005F7C7E" w:rsidP="005F7C7E">
      <w:pPr>
        <w:pStyle w:val="ReferenceTitle"/>
        <w:spacing w:line="276" w:lineRule="auto"/>
        <w:ind w:left="1080"/>
      </w:pPr>
      <w:r w:rsidRPr="003B65A2">
        <w:t>7. Conclusions and Future Work</w:t>
      </w:r>
    </w:p>
    <w:p w14:paraId="658A40EF" w14:textId="170E479B" w:rsidR="005F7C7E" w:rsidRPr="003B65A2" w:rsidRDefault="005F7C7E">
      <w:pPr>
        <w:pStyle w:val="ReferenceTitle"/>
        <w:numPr>
          <w:ilvl w:val="0"/>
          <w:numId w:val="23"/>
        </w:numPr>
        <w:spacing w:line="276" w:lineRule="auto"/>
      </w:pPr>
      <w:r w:rsidRPr="003B65A2">
        <w:t>The study presents a significant advance in reconstructing seamless daily NTL imagery, unlocking the full potential of VIIRS data for diverse applications.</w:t>
      </w:r>
    </w:p>
    <w:p w14:paraId="03E9FD2D" w14:textId="19DDC141" w:rsidR="005F7C7E" w:rsidRPr="003B65A2" w:rsidRDefault="005F7C7E">
      <w:pPr>
        <w:pStyle w:val="ReferenceTitle"/>
        <w:numPr>
          <w:ilvl w:val="0"/>
          <w:numId w:val="23"/>
        </w:numPr>
        <w:spacing w:line="276" w:lineRule="auto"/>
      </w:pPr>
      <w:r w:rsidRPr="003B65A2">
        <w:t>Future directions include optimizing computational efficiency, improving cloud detection (potentially with deep learning), and expanding applications of the gap-filled data.</w:t>
      </w:r>
    </w:p>
    <w:p w14:paraId="42A24D7C" w14:textId="77777777" w:rsidR="005F7C7E" w:rsidRPr="003B65A2" w:rsidRDefault="005F7C7E" w:rsidP="005F7C7E">
      <w:pPr>
        <w:pStyle w:val="ReferenceTitle"/>
        <w:spacing w:line="276" w:lineRule="auto"/>
        <w:ind w:left="1080"/>
      </w:pPr>
      <w:r w:rsidRPr="003B65A2">
        <w:t>Example Implementation:</w:t>
      </w:r>
    </w:p>
    <w:p w14:paraId="67837958" w14:textId="4D3E7B37" w:rsidR="005F7C7E" w:rsidRPr="003B65A2" w:rsidRDefault="005F7C7E">
      <w:pPr>
        <w:pStyle w:val="ReferenceTitle"/>
        <w:numPr>
          <w:ilvl w:val="0"/>
          <w:numId w:val="24"/>
        </w:numPr>
        <w:spacing w:line="276" w:lineRule="auto"/>
      </w:pPr>
      <w:r w:rsidRPr="003B65A2">
        <w:t>The method was able to reconstruct NTL images for Puerto Rico after Hurricane Maria, revealing spatial heterogeneity in recovery and matching official electricity data more closely than previous methods.</w:t>
      </w:r>
    </w:p>
    <w:p w14:paraId="472B5A3D" w14:textId="7109DDA9" w:rsidR="005F7C7E" w:rsidRPr="003B65A2" w:rsidRDefault="005F7C7E">
      <w:pPr>
        <w:pStyle w:val="ReferenceTitle"/>
        <w:numPr>
          <w:ilvl w:val="0"/>
          <w:numId w:val="24"/>
        </w:numPr>
        <w:spacing w:line="276" w:lineRule="auto"/>
      </w:pPr>
      <w:r w:rsidRPr="003B65A2">
        <w:t xml:space="preserve">In simulated scenarios, the method reduced bias in </w:t>
      </w:r>
      <w:proofErr w:type="gramStart"/>
      <w:r w:rsidRPr="003B65A2">
        <w:t>dimly-lit</w:t>
      </w:r>
      <w:proofErr w:type="gramEnd"/>
      <w:r w:rsidRPr="003B65A2">
        <w:t xml:space="preserve"> and </w:t>
      </w:r>
      <w:proofErr w:type="gramStart"/>
      <w:r w:rsidRPr="003B65A2">
        <w:t>brightly-lit</w:t>
      </w:r>
      <w:proofErr w:type="gramEnd"/>
      <w:r w:rsidRPr="003B65A2">
        <w:t xml:space="preserve"> areas by at least 50% compared to other methods.</w:t>
      </w:r>
    </w:p>
    <w:p w14:paraId="4CDC0575" w14:textId="77777777" w:rsidR="005F7C7E" w:rsidRPr="003B65A2" w:rsidRDefault="005F7C7E" w:rsidP="005F7C7E">
      <w:pPr>
        <w:pStyle w:val="jot-list-item-element"/>
        <w:spacing w:before="0" w:beforeAutospacing="0" w:after="0" w:afterAutospacing="0" w:line="276" w:lineRule="auto"/>
        <w:ind w:left="1800"/>
        <w:rPr>
          <w:rFonts w:ascii="Arial" w:hAnsi="Arial" w:cs="Arial"/>
          <w:sz w:val="20"/>
          <w:szCs w:val="20"/>
        </w:rPr>
      </w:pPr>
    </w:p>
    <w:p w14:paraId="61A8D2EF" w14:textId="77777777" w:rsidR="005F7C7E" w:rsidRPr="003B65A2" w:rsidRDefault="005F7C7E" w:rsidP="005F7C7E">
      <w:pPr>
        <w:pStyle w:val="jot-paragraph-element"/>
        <w:spacing w:before="0" w:beforeAutospacing="0" w:after="0" w:afterAutospacing="0" w:line="276" w:lineRule="auto"/>
        <w:ind w:left="1080"/>
        <w:rPr>
          <w:rFonts w:ascii="Arial" w:hAnsi="Arial" w:cs="Arial"/>
          <w:sz w:val="20"/>
          <w:szCs w:val="20"/>
        </w:rPr>
      </w:pPr>
      <w:r w:rsidRPr="003B65A2">
        <w:rPr>
          <w:rStyle w:val="Strong"/>
          <w:rFonts w:ascii="Arial" w:hAnsi="Arial" w:cs="Arial"/>
          <w:b w:val="0"/>
          <w:bCs w:val="0"/>
          <w:sz w:val="20"/>
          <w:szCs w:val="20"/>
        </w:rPr>
        <w:t>Summary Table of Performance (from Table 1):</w:t>
      </w:r>
    </w:p>
    <w:tbl>
      <w:tblPr>
        <w:tblStyle w:val="TableGridLight"/>
        <w:tblW w:w="4404" w:type="pct"/>
        <w:tblInd w:w="1075" w:type="dxa"/>
        <w:tblLayout w:type="fixed"/>
        <w:tblLook w:val="04A0" w:firstRow="1" w:lastRow="0" w:firstColumn="1" w:lastColumn="0" w:noHBand="0" w:noVBand="1"/>
      </w:tblPr>
      <w:tblGrid>
        <w:gridCol w:w="1441"/>
        <w:gridCol w:w="1969"/>
        <w:gridCol w:w="2111"/>
        <w:gridCol w:w="2420"/>
      </w:tblGrid>
      <w:tr w:rsidR="005F7C7E" w:rsidRPr="003B65A2" w14:paraId="086F6D50" w14:textId="77777777" w:rsidTr="003B65A2">
        <w:tc>
          <w:tcPr>
            <w:tcW w:w="907" w:type="pct"/>
            <w:hideMark/>
          </w:tcPr>
          <w:p w14:paraId="24B1188E" w14:textId="77777777" w:rsidR="005F7C7E" w:rsidRPr="003B65A2" w:rsidRDefault="005F7C7E" w:rsidP="005F7C7E">
            <w:pPr>
              <w:spacing w:line="276" w:lineRule="auto"/>
              <w:rPr>
                <w:rFonts w:ascii="Arial" w:hAnsi="Arial" w:cs="Arial"/>
                <w:sz w:val="20"/>
                <w:szCs w:val="20"/>
              </w:rPr>
            </w:pPr>
            <w:r w:rsidRPr="003B65A2">
              <w:rPr>
                <w:rFonts w:ascii="Arial" w:hAnsi="Arial" w:cs="Arial"/>
                <w:sz w:val="20"/>
                <w:szCs w:val="20"/>
              </w:rPr>
              <w:t>Scenario</w:t>
            </w:r>
          </w:p>
        </w:tc>
        <w:tc>
          <w:tcPr>
            <w:tcW w:w="1240" w:type="pct"/>
            <w:hideMark/>
          </w:tcPr>
          <w:p w14:paraId="3907D17C" w14:textId="47237432" w:rsidR="005F7C7E" w:rsidRPr="003B65A2" w:rsidRDefault="005F7C7E" w:rsidP="005F7C7E">
            <w:pPr>
              <w:spacing w:line="276" w:lineRule="auto"/>
              <w:rPr>
                <w:rFonts w:ascii="Arial" w:hAnsi="Arial" w:cs="Arial"/>
                <w:sz w:val="20"/>
                <w:szCs w:val="20"/>
              </w:rPr>
            </w:pPr>
            <w:r w:rsidRPr="003B65A2">
              <w:rPr>
                <w:rFonts w:ascii="Arial" w:hAnsi="Arial" w:cs="Arial"/>
                <w:sz w:val="20"/>
                <w:szCs w:val="20"/>
              </w:rPr>
              <w:t>Our Method </w:t>
            </w:r>
            <w:r w:rsidR="003B65A2" w:rsidRPr="003B65A2">
              <w:rPr>
                <w:rFonts w:ascii="Arial" w:hAnsi="Arial" w:cs="Arial"/>
                <w:sz w:val="20"/>
                <w:szCs w:val="20"/>
              </w:rPr>
              <w:br/>
            </w:r>
            <w:r w:rsidRPr="003B65A2">
              <w:rPr>
                <w:rFonts w:ascii="Arial" w:hAnsi="Arial" w:cs="Arial"/>
                <w:sz w:val="20"/>
                <w:szCs w:val="20"/>
              </w:rPr>
              <w:t>(RMSE/R</w:t>
            </w:r>
            <w:r w:rsidRPr="003B65A2">
              <w:rPr>
                <w:rFonts w:ascii="Arial" w:hAnsi="Arial" w:cs="Arial"/>
                <w:sz w:val="20"/>
                <w:szCs w:val="20"/>
                <w:vertAlign w:val="superscript"/>
              </w:rPr>
              <w:t>2</w:t>
            </w:r>
            <w:r w:rsidRPr="003B65A2">
              <w:rPr>
                <w:rFonts w:ascii="Arial" w:hAnsi="Arial" w:cs="Arial"/>
                <w:sz w:val="20"/>
                <w:szCs w:val="20"/>
              </w:rPr>
              <w:t>)</w:t>
            </w:r>
          </w:p>
        </w:tc>
        <w:tc>
          <w:tcPr>
            <w:tcW w:w="2111" w:type="dxa"/>
            <w:hideMark/>
          </w:tcPr>
          <w:p w14:paraId="61A1689B" w14:textId="77777777" w:rsidR="005F7C7E" w:rsidRPr="003B65A2" w:rsidRDefault="005F7C7E" w:rsidP="005F7C7E">
            <w:pPr>
              <w:spacing w:line="276" w:lineRule="auto"/>
              <w:rPr>
                <w:rFonts w:ascii="Arial" w:hAnsi="Arial" w:cs="Arial"/>
                <w:sz w:val="20"/>
                <w:szCs w:val="20"/>
              </w:rPr>
            </w:pPr>
            <w:r w:rsidRPr="003B65A2">
              <w:rPr>
                <w:rFonts w:ascii="Arial" w:hAnsi="Arial" w:cs="Arial"/>
                <w:sz w:val="20"/>
                <w:szCs w:val="20"/>
              </w:rPr>
              <w:t>CRYSTAL </w:t>
            </w:r>
          </w:p>
          <w:p w14:paraId="7BFC49FA" w14:textId="0836EA3D" w:rsidR="003B65A2" w:rsidRPr="003B65A2" w:rsidRDefault="003B65A2" w:rsidP="005F7C7E">
            <w:pPr>
              <w:spacing w:line="276" w:lineRule="auto"/>
              <w:rPr>
                <w:rFonts w:ascii="Arial" w:hAnsi="Arial" w:cs="Arial"/>
                <w:sz w:val="20"/>
                <w:szCs w:val="20"/>
              </w:rPr>
            </w:pPr>
            <w:r w:rsidRPr="003B65A2">
              <w:rPr>
                <w:rFonts w:ascii="Arial" w:hAnsi="Arial" w:cs="Arial"/>
                <w:sz w:val="20"/>
                <w:szCs w:val="20"/>
              </w:rPr>
              <w:t>(RMSE/R</w:t>
            </w:r>
            <w:r w:rsidRPr="003B65A2">
              <w:rPr>
                <w:rFonts w:ascii="Arial" w:hAnsi="Arial" w:cs="Arial"/>
                <w:sz w:val="20"/>
                <w:szCs w:val="20"/>
                <w:vertAlign w:val="superscript"/>
              </w:rPr>
              <w:t>2</w:t>
            </w:r>
            <w:r w:rsidRPr="003B65A2">
              <w:rPr>
                <w:rFonts w:ascii="Arial" w:hAnsi="Arial" w:cs="Arial"/>
                <w:sz w:val="20"/>
                <w:szCs w:val="20"/>
              </w:rPr>
              <w:t>)</w:t>
            </w:r>
          </w:p>
        </w:tc>
        <w:tc>
          <w:tcPr>
            <w:tcW w:w="2421" w:type="dxa"/>
            <w:hideMark/>
          </w:tcPr>
          <w:p w14:paraId="6D8F7D17" w14:textId="77777777" w:rsidR="005F7C7E" w:rsidRPr="003B65A2" w:rsidRDefault="005F7C7E" w:rsidP="005F7C7E">
            <w:pPr>
              <w:spacing w:line="276" w:lineRule="auto"/>
              <w:rPr>
                <w:rFonts w:ascii="Arial" w:hAnsi="Arial" w:cs="Arial"/>
                <w:sz w:val="20"/>
                <w:szCs w:val="20"/>
              </w:rPr>
            </w:pPr>
            <w:r w:rsidRPr="003B65A2">
              <w:rPr>
                <w:rFonts w:ascii="Arial" w:hAnsi="Arial" w:cs="Arial"/>
                <w:sz w:val="20"/>
                <w:szCs w:val="20"/>
              </w:rPr>
              <w:t>Hao's Method</w:t>
            </w:r>
          </w:p>
          <w:p w14:paraId="18AEE40C" w14:textId="34BECE99" w:rsidR="003B65A2" w:rsidRPr="003B65A2" w:rsidRDefault="003B65A2" w:rsidP="005F7C7E">
            <w:pPr>
              <w:spacing w:line="276" w:lineRule="auto"/>
              <w:rPr>
                <w:rFonts w:ascii="Arial" w:hAnsi="Arial" w:cs="Arial"/>
                <w:sz w:val="20"/>
                <w:szCs w:val="20"/>
              </w:rPr>
            </w:pPr>
            <w:r w:rsidRPr="003B65A2">
              <w:rPr>
                <w:rFonts w:ascii="Arial" w:hAnsi="Arial" w:cs="Arial"/>
                <w:sz w:val="20"/>
                <w:szCs w:val="20"/>
              </w:rPr>
              <w:t>(RMSE/R</w:t>
            </w:r>
            <w:r w:rsidRPr="003B65A2">
              <w:rPr>
                <w:rFonts w:ascii="Arial" w:hAnsi="Arial" w:cs="Arial"/>
                <w:sz w:val="20"/>
                <w:szCs w:val="20"/>
                <w:vertAlign w:val="superscript"/>
              </w:rPr>
              <w:t>2</w:t>
            </w:r>
            <w:r w:rsidRPr="003B65A2">
              <w:rPr>
                <w:rFonts w:ascii="Arial" w:hAnsi="Arial" w:cs="Arial"/>
                <w:sz w:val="20"/>
                <w:szCs w:val="20"/>
              </w:rPr>
              <w:t>)</w:t>
            </w:r>
          </w:p>
        </w:tc>
      </w:tr>
      <w:tr w:rsidR="005F7C7E" w:rsidRPr="003B65A2" w14:paraId="67429662" w14:textId="77777777" w:rsidTr="003B65A2">
        <w:tc>
          <w:tcPr>
            <w:tcW w:w="907" w:type="pct"/>
            <w:hideMark/>
          </w:tcPr>
          <w:p w14:paraId="35C15E72" w14:textId="77777777" w:rsidR="005F7C7E" w:rsidRPr="003B65A2" w:rsidRDefault="005F7C7E" w:rsidP="005F7C7E">
            <w:pPr>
              <w:spacing w:line="276" w:lineRule="auto"/>
              <w:rPr>
                <w:rFonts w:ascii="Arial" w:hAnsi="Arial" w:cs="Arial"/>
                <w:sz w:val="20"/>
                <w:szCs w:val="20"/>
              </w:rPr>
            </w:pPr>
            <w:r w:rsidRPr="003B65A2">
              <w:rPr>
                <w:rFonts w:ascii="Arial" w:hAnsi="Arial" w:cs="Arial"/>
                <w:sz w:val="20"/>
                <w:szCs w:val="20"/>
              </w:rPr>
              <w:t>Simple</w:t>
            </w:r>
          </w:p>
        </w:tc>
        <w:tc>
          <w:tcPr>
            <w:tcW w:w="1240" w:type="pct"/>
            <w:hideMark/>
          </w:tcPr>
          <w:p w14:paraId="565100B9" w14:textId="77777777" w:rsidR="005F7C7E" w:rsidRPr="003B65A2" w:rsidRDefault="005F7C7E" w:rsidP="005F7C7E">
            <w:pPr>
              <w:spacing w:line="276" w:lineRule="auto"/>
              <w:rPr>
                <w:rFonts w:ascii="Arial" w:hAnsi="Arial" w:cs="Arial"/>
                <w:sz w:val="20"/>
                <w:szCs w:val="20"/>
              </w:rPr>
            </w:pPr>
            <w:r w:rsidRPr="003B65A2">
              <w:rPr>
                <w:rFonts w:ascii="Arial" w:hAnsi="Arial" w:cs="Arial"/>
                <w:sz w:val="20"/>
                <w:szCs w:val="20"/>
              </w:rPr>
              <w:t>9.44 / 0.85</w:t>
            </w:r>
          </w:p>
        </w:tc>
        <w:tc>
          <w:tcPr>
            <w:tcW w:w="2111" w:type="dxa"/>
            <w:hideMark/>
          </w:tcPr>
          <w:p w14:paraId="7C9593B8" w14:textId="77777777" w:rsidR="005F7C7E" w:rsidRPr="003B65A2" w:rsidRDefault="005F7C7E" w:rsidP="005F7C7E">
            <w:pPr>
              <w:spacing w:line="276" w:lineRule="auto"/>
              <w:rPr>
                <w:rFonts w:ascii="Arial" w:hAnsi="Arial" w:cs="Arial"/>
                <w:sz w:val="20"/>
                <w:szCs w:val="20"/>
              </w:rPr>
            </w:pPr>
            <w:r w:rsidRPr="003B65A2">
              <w:rPr>
                <w:rFonts w:ascii="Arial" w:hAnsi="Arial" w:cs="Arial"/>
                <w:sz w:val="20"/>
                <w:szCs w:val="20"/>
              </w:rPr>
              <w:t>16.57 / 0.72</w:t>
            </w:r>
          </w:p>
        </w:tc>
        <w:tc>
          <w:tcPr>
            <w:tcW w:w="2421" w:type="dxa"/>
            <w:hideMark/>
          </w:tcPr>
          <w:p w14:paraId="1150E3DF" w14:textId="77777777" w:rsidR="005F7C7E" w:rsidRPr="003B65A2" w:rsidRDefault="005F7C7E" w:rsidP="005F7C7E">
            <w:pPr>
              <w:spacing w:line="276" w:lineRule="auto"/>
              <w:rPr>
                <w:rFonts w:ascii="Arial" w:hAnsi="Arial" w:cs="Arial"/>
                <w:sz w:val="20"/>
                <w:szCs w:val="20"/>
              </w:rPr>
            </w:pPr>
            <w:r w:rsidRPr="003B65A2">
              <w:rPr>
                <w:rFonts w:ascii="Arial" w:hAnsi="Arial" w:cs="Arial"/>
                <w:sz w:val="20"/>
                <w:szCs w:val="20"/>
              </w:rPr>
              <w:t>19.85 / 0.66</w:t>
            </w:r>
          </w:p>
        </w:tc>
      </w:tr>
      <w:tr w:rsidR="005F7C7E" w:rsidRPr="003B65A2" w14:paraId="1A4114D2" w14:textId="77777777" w:rsidTr="003B65A2">
        <w:tc>
          <w:tcPr>
            <w:tcW w:w="907" w:type="pct"/>
            <w:hideMark/>
          </w:tcPr>
          <w:p w14:paraId="00902C89" w14:textId="77777777" w:rsidR="005F7C7E" w:rsidRPr="003B65A2" w:rsidRDefault="005F7C7E" w:rsidP="005F7C7E">
            <w:pPr>
              <w:spacing w:line="276" w:lineRule="auto"/>
              <w:rPr>
                <w:rFonts w:ascii="Arial" w:hAnsi="Arial" w:cs="Arial"/>
                <w:sz w:val="20"/>
                <w:szCs w:val="20"/>
              </w:rPr>
            </w:pPr>
            <w:r w:rsidRPr="003B65A2">
              <w:rPr>
                <w:rFonts w:ascii="Arial" w:hAnsi="Arial" w:cs="Arial"/>
                <w:sz w:val="20"/>
                <w:szCs w:val="20"/>
              </w:rPr>
              <w:t>Abrupt</w:t>
            </w:r>
          </w:p>
        </w:tc>
        <w:tc>
          <w:tcPr>
            <w:tcW w:w="1240" w:type="pct"/>
            <w:hideMark/>
          </w:tcPr>
          <w:p w14:paraId="36092BB5" w14:textId="77777777" w:rsidR="005F7C7E" w:rsidRPr="003B65A2" w:rsidRDefault="005F7C7E" w:rsidP="005F7C7E">
            <w:pPr>
              <w:spacing w:line="276" w:lineRule="auto"/>
              <w:rPr>
                <w:rFonts w:ascii="Arial" w:hAnsi="Arial" w:cs="Arial"/>
                <w:sz w:val="20"/>
                <w:szCs w:val="20"/>
              </w:rPr>
            </w:pPr>
            <w:r w:rsidRPr="003B65A2">
              <w:rPr>
                <w:rFonts w:ascii="Arial" w:hAnsi="Arial" w:cs="Arial"/>
                <w:sz w:val="20"/>
                <w:szCs w:val="20"/>
              </w:rPr>
              <w:t>2.13 / 0.82</w:t>
            </w:r>
          </w:p>
        </w:tc>
        <w:tc>
          <w:tcPr>
            <w:tcW w:w="2111" w:type="dxa"/>
            <w:hideMark/>
          </w:tcPr>
          <w:p w14:paraId="18DE917B" w14:textId="77777777" w:rsidR="005F7C7E" w:rsidRPr="003B65A2" w:rsidRDefault="005F7C7E" w:rsidP="005F7C7E">
            <w:pPr>
              <w:spacing w:line="276" w:lineRule="auto"/>
              <w:rPr>
                <w:rFonts w:ascii="Arial" w:hAnsi="Arial" w:cs="Arial"/>
                <w:sz w:val="20"/>
                <w:szCs w:val="20"/>
              </w:rPr>
            </w:pPr>
            <w:r w:rsidRPr="003B65A2">
              <w:rPr>
                <w:rFonts w:ascii="Arial" w:hAnsi="Arial" w:cs="Arial"/>
                <w:sz w:val="20"/>
                <w:szCs w:val="20"/>
              </w:rPr>
              <w:t>3.61 / 0.65</w:t>
            </w:r>
          </w:p>
        </w:tc>
        <w:tc>
          <w:tcPr>
            <w:tcW w:w="2421" w:type="dxa"/>
            <w:hideMark/>
          </w:tcPr>
          <w:p w14:paraId="2D7FC8A4" w14:textId="77777777" w:rsidR="005F7C7E" w:rsidRPr="003B65A2" w:rsidRDefault="005F7C7E" w:rsidP="005F7C7E">
            <w:pPr>
              <w:spacing w:line="276" w:lineRule="auto"/>
              <w:rPr>
                <w:rFonts w:ascii="Arial" w:hAnsi="Arial" w:cs="Arial"/>
                <w:sz w:val="20"/>
                <w:szCs w:val="20"/>
              </w:rPr>
            </w:pPr>
            <w:r w:rsidRPr="003B65A2">
              <w:rPr>
                <w:rFonts w:ascii="Arial" w:hAnsi="Arial" w:cs="Arial"/>
                <w:sz w:val="20"/>
                <w:szCs w:val="20"/>
              </w:rPr>
              <w:t>8.78 / 0.63</w:t>
            </w:r>
          </w:p>
        </w:tc>
      </w:tr>
      <w:tr w:rsidR="005F7C7E" w:rsidRPr="003B65A2" w14:paraId="6DDF45CF" w14:textId="77777777" w:rsidTr="003B65A2">
        <w:tc>
          <w:tcPr>
            <w:tcW w:w="907" w:type="pct"/>
            <w:hideMark/>
          </w:tcPr>
          <w:p w14:paraId="4DC87C94" w14:textId="77777777" w:rsidR="005F7C7E" w:rsidRPr="003B65A2" w:rsidRDefault="005F7C7E" w:rsidP="005F7C7E">
            <w:pPr>
              <w:spacing w:line="276" w:lineRule="auto"/>
              <w:rPr>
                <w:rFonts w:ascii="Arial" w:hAnsi="Arial" w:cs="Arial"/>
                <w:sz w:val="20"/>
                <w:szCs w:val="20"/>
              </w:rPr>
            </w:pPr>
            <w:r w:rsidRPr="003B65A2">
              <w:rPr>
                <w:rFonts w:ascii="Arial" w:hAnsi="Arial" w:cs="Arial"/>
                <w:sz w:val="20"/>
                <w:szCs w:val="20"/>
              </w:rPr>
              <w:t>40% Cloud</w:t>
            </w:r>
          </w:p>
        </w:tc>
        <w:tc>
          <w:tcPr>
            <w:tcW w:w="1240" w:type="pct"/>
            <w:hideMark/>
          </w:tcPr>
          <w:p w14:paraId="1F600DC3" w14:textId="77777777" w:rsidR="005F7C7E" w:rsidRPr="003B65A2" w:rsidRDefault="005F7C7E" w:rsidP="005F7C7E">
            <w:pPr>
              <w:spacing w:line="276" w:lineRule="auto"/>
              <w:rPr>
                <w:rFonts w:ascii="Arial" w:hAnsi="Arial" w:cs="Arial"/>
                <w:sz w:val="20"/>
                <w:szCs w:val="20"/>
              </w:rPr>
            </w:pPr>
            <w:r w:rsidRPr="003B65A2">
              <w:rPr>
                <w:rFonts w:ascii="Arial" w:hAnsi="Arial" w:cs="Arial"/>
                <w:sz w:val="20"/>
                <w:szCs w:val="20"/>
              </w:rPr>
              <w:t>10.84 / 0.80</w:t>
            </w:r>
          </w:p>
        </w:tc>
        <w:tc>
          <w:tcPr>
            <w:tcW w:w="2111" w:type="dxa"/>
            <w:hideMark/>
          </w:tcPr>
          <w:p w14:paraId="42FCBD11" w14:textId="77777777" w:rsidR="005F7C7E" w:rsidRPr="003B65A2" w:rsidRDefault="005F7C7E" w:rsidP="005F7C7E">
            <w:pPr>
              <w:spacing w:line="276" w:lineRule="auto"/>
              <w:rPr>
                <w:rFonts w:ascii="Arial" w:hAnsi="Arial" w:cs="Arial"/>
                <w:sz w:val="20"/>
                <w:szCs w:val="20"/>
              </w:rPr>
            </w:pPr>
            <w:r w:rsidRPr="003B65A2">
              <w:rPr>
                <w:rFonts w:ascii="Arial" w:hAnsi="Arial" w:cs="Arial"/>
                <w:sz w:val="20"/>
                <w:szCs w:val="20"/>
              </w:rPr>
              <w:t>19.79 / 0.61</w:t>
            </w:r>
          </w:p>
        </w:tc>
        <w:tc>
          <w:tcPr>
            <w:tcW w:w="2421" w:type="dxa"/>
            <w:hideMark/>
          </w:tcPr>
          <w:p w14:paraId="74EE1D19" w14:textId="77777777" w:rsidR="005F7C7E" w:rsidRPr="003B65A2" w:rsidRDefault="005F7C7E" w:rsidP="005F7C7E">
            <w:pPr>
              <w:spacing w:line="276" w:lineRule="auto"/>
              <w:rPr>
                <w:rFonts w:ascii="Arial" w:hAnsi="Arial" w:cs="Arial"/>
                <w:sz w:val="20"/>
                <w:szCs w:val="20"/>
              </w:rPr>
            </w:pPr>
            <w:r w:rsidRPr="003B65A2">
              <w:rPr>
                <w:rFonts w:ascii="Arial" w:hAnsi="Arial" w:cs="Arial"/>
                <w:sz w:val="20"/>
                <w:szCs w:val="20"/>
              </w:rPr>
              <w:t>20.99 / 0.57</w:t>
            </w:r>
          </w:p>
        </w:tc>
      </w:tr>
    </w:tbl>
    <w:p w14:paraId="1328B8E3" w14:textId="77777777" w:rsidR="005F7C7E" w:rsidRPr="003B65A2" w:rsidRDefault="005F7C7E" w:rsidP="005F7C7E">
      <w:pPr>
        <w:pStyle w:val="jot-paragraph-element"/>
        <w:spacing w:before="0" w:beforeAutospacing="0" w:after="0" w:afterAutospacing="0" w:line="276" w:lineRule="auto"/>
        <w:rPr>
          <w:rFonts w:ascii="Arial" w:hAnsi="Arial" w:cs="Arial"/>
          <w:sz w:val="20"/>
          <w:szCs w:val="20"/>
        </w:rPr>
      </w:pPr>
    </w:p>
    <w:p w14:paraId="4478B2A2" w14:textId="5A83C9DE" w:rsidR="00EA222E" w:rsidRPr="003B65A2" w:rsidRDefault="005F7C7E" w:rsidP="00AC1449">
      <w:pPr>
        <w:pStyle w:val="jot-paragraph-element"/>
        <w:spacing w:before="0" w:beforeAutospacing="0" w:after="0" w:afterAutospacing="0" w:line="276" w:lineRule="auto"/>
        <w:ind w:left="1080"/>
        <w:rPr>
          <w:rFonts w:ascii="Arial" w:hAnsi="Arial" w:cs="Arial"/>
          <w:sz w:val="20"/>
          <w:szCs w:val="20"/>
        </w:rPr>
      </w:pPr>
      <w:r w:rsidRPr="003B65A2">
        <w:rPr>
          <w:rFonts w:ascii="Arial" w:hAnsi="Arial" w:cs="Arial"/>
          <w:sz w:val="20"/>
          <w:szCs w:val="20"/>
        </w:rPr>
        <w:t>This summary captures the document's main findings, innovations, and implications for t</w:t>
      </w:r>
      <w:r w:rsidR="003B65A2" w:rsidRPr="003B65A2">
        <w:rPr>
          <w:rFonts w:ascii="Arial" w:hAnsi="Arial" w:cs="Arial"/>
          <w:sz w:val="20"/>
          <w:szCs w:val="20"/>
        </w:rPr>
        <w:t>h</w:t>
      </w:r>
      <w:r w:rsidRPr="003B65A2">
        <w:rPr>
          <w:rFonts w:ascii="Arial" w:hAnsi="Arial" w:cs="Arial"/>
          <w:sz w:val="20"/>
          <w:szCs w:val="20"/>
        </w:rPr>
        <w:t>e field of remote sensing and human activity monitoring.</w:t>
      </w:r>
    </w:p>
    <w:p w14:paraId="3F4F1A25" w14:textId="6D717E9D" w:rsidR="00A40AAE" w:rsidRDefault="00AC1449">
      <w:pPr>
        <w:pStyle w:val="ReferenceTitle"/>
        <w:numPr>
          <w:ilvl w:val="0"/>
          <w:numId w:val="15"/>
        </w:numPr>
      </w:pPr>
      <w:r w:rsidRPr="00AC1449">
        <w:lastRenderedPageBreak/>
        <w:t xml:space="preserve">Levin, N. (2025). </w:t>
      </w:r>
      <w:r w:rsidRPr="00AC1449">
        <w:rPr>
          <w:b/>
          <w:bCs/>
        </w:rPr>
        <w:t xml:space="preserve">Challenges in remote sensing of night lights – a research agenda for the next decade. </w:t>
      </w:r>
      <w:r w:rsidRPr="00AC1449">
        <w:t>Remote Sensing of Environment, 328</w:t>
      </w:r>
      <w:r>
        <w:t xml:space="preserve">, </w:t>
      </w:r>
      <w:hyperlink r:id="rId11" w:history="1">
        <w:r w:rsidRPr="002A2250">
          <w:rPr>
            <w:rStyle w:val="Hyperlink"/>
          </w:rPr>
          <w:t>https://doi.org/10.1016/j.rse.2025.114869</w:t>
        </w:r>
      </w:hyperlink>
      <w:r>
        <w:t xml:space="preserve"> </w:t>
      </w:r>
    </w:p>
    <w:p w14:paraId="1C2DFE6E" w14:textId="77777777" w:rsidR="00AC1449" w:rsidRDefault="00AC1449" w:rsidP="00AC1449">
      <w:pPr>
        <w:pStyle w:val="ReferenceTitle"/>
        <w:ind w:left="1080"/>
      </w:pPr>
    </w:p>
    <w:p w14:paraId="6FBE0FA8" w14:textId="3CA79B1D" w:rsidR="00AC1449" w:rsidRDefault="00AC1449" w:rsidP="00AC1449">
      <w:pPr>
        <w:pStyle w:val="ReferenceTitle"/>
        <w:ind w:left="1080"/>
      </w:pPr>
      <w:r>
        <w:t>This article presents a research agenda for advancing remote sensing of night lights over the next decade, focusing on five key challenges and demonstrating solutions using various sensors.</w:t>
      </w:r>
    </w:p>
    <w:p w14:paraId="696B92AB" w14:textId="77777777" w:rsidR="00AC1449" w:rsidRDefault="00AC1449" w:rsidP="00AC1449">
      <w:pPr>
        <w:pStyle w:val="ReferenceTitle"/>
        <w:ind w:left="1080"/>
      </w:pPr>
      <w:r>
        <w:t>Main Challenges Addressed</w:t>
      </w:r>
    </w:p>
    <w:p w14:paraId="5EE6A6E0" w14:textId="2F94ED82" w:rsidR="00AC1449" w:rsidRDefault="00AC1449">
      <w:pPr>
        <w:pStyle w:val="ReferenceTitle"/>
        <w:numPr>
          <w:ilvl w:val="0"/>
          <w:numId w:val="25"/>
        </w:numPr>
      </w:pPr>
      <w:r>
        <w:t>Challenge 1: Creating cloud masks for future night light missions using thermal imagery alongside visible bands.</w:t>
      </w:r>
    </w:p>
    <w:p w14:paraId="3E52F43D" w14:textId="23572B1F" w:rsidR="00AC1449" w:rsidRDefault="00AC1449">
      <w:pPr>
        <w:pStyle w:val="ReferenceTitle"/>
        <w:numPr>
          <w:ilvl w:val="1"/>
          <w:numId w:val="25"/>
        </w:numPr>
      </w:pPr>
      <w:r w:rsidRPr="00AC1449">
        <w:t xml:space="preserve">The methodology involved comparing two SDGSAT-1 images over southeast France: a cloud-free image (October 6, 2023) and a partly cloudy image (October 22, 2023). The thermal infrared spectrometer data was classified into 16 equal interval classes, with the 10 lower temperature classes identified as clouds to create a binary cloud </w:t>
      </w:r>
      <w:proofErr w:type="gramStart"/>
      <w:r w:rsidRPr="00AC1449">
        <w:t>mask .</w:t>
      </w:r>
      <w:proofErr w:type="gramEnd"/>
      <w:r w:rsidRPr="00AC1449">
        <w:t xml:space="preserve"> This revealed two cloud effects: thin clouds caused light scattering and urban glow, while thick clouds backscattered light downward, making areas appear dark from space.</w:t>
      </w:r>
    </w:p>
    <w:p w14:paraId="519CC9C6" w14:textId="111E9582" w:rsidR="00AC1449" w:rsidRDefault="00AC1449">
      <w:pPr>
        <w:pStyle w:val="ReferenceTitle"/>
        <w:numPr>
          <w:ilvl w:val="0"/>
          <w:numId w:val="25"/>
        </w:numPr>
      </w:pPr>
      <w:r>
        <w:t xml:space="preserve">Challenge 2: Monitoring hourly changes in night lights using ground-based </w:t>
      </w:r>
      <w:proofErr w:type="spellStart"/>
      <w:r>
        <w:t>LANcube</w:t>
      </w:r>
      <w:proofErr w:type="spellEnd"/>
      <w:r>
        <w:t xml:space="preserve"> photometers and webcams, revealing patterns like stadium lights turning off and reduced lighting during Jewish holy days.</w:t>
      </w:r>
    </w:p>
    <w:p w14:paraId="23B3DE7A" w14:textId="223C5C91" w:rsidR="00AC1449" w:rsidRDefault="00AC1449">
      <w:pPr>
        <w:pStyle w:val="ReferenceTitle"/>
        <w:numPr>
          <w:ilvl w:val="1"/>
          <w:numId w:val="25"/>
        </w:numPr>
      </w:pPr>
      <w:r>
        <w:t xml:space="preserve"> </w:t>
      </w:r>
      <w:proofErr w:type="spellStart"/>
      <w:r>
        <w:t>LANcube</w:t>
      </w:r>
      <w:proofErr w:type="spellEnd"/>
      <w:r>
        <w:t xml:space="preserve"> approach: Used two photometers measuring light in five directions (upward, backward, forward, left, right) along Jerusalem routes at four time periods (21:15, 22:15, 23:15, 00:15</w:t>
      </w:r>
      <w:r>
        <w:t>)</w:t>
      </w:r>
      <w:r>
        <w:t>. Semi-rectangular polygons were created every 50m along routes for spatial comparison, with statistical analysis using Welch t-</w:t>
      </w:r>
      <w:proofErr w:type="gramStart"/>
      <w:r>
        <w:t>tests .</w:t>
      </w:r>
      <w:proofErr w:type="gramEnd"/>
    </w:p>
    <w:p w14:paraId="52FC6D60" w14:textId="53876753" w:rsidR="00AC1449" w:rsidRDefault="00AC1449">
      <w:pPr>
        <w:pStyle w:val="ReferenceTitle"/>
        <w:numPr>
          <w:ilvl w:val="1"/>
          <w:numId w:val="25"/>
        </w:numPr>
      </w:pPr>
      <w:r>
        <w:t>Webcam methodology: Analyzed 28 nights of 10-minute interval images from a Jerusalem webcam, summing RGB values in 12 regions of interest representing different light sources, comparing weekdays versus Jewish holy days.</w:t>
      </w:r>
    </w:p>
    <w:p w14:paraId="06F58813" w14:textId="40013990" w:rsidR="00AC1449" w:rsidRDefault="00AC1449">
      <w:pPr>
        <w:pStyle w:val="ReferenceTitle"/>
        <w:numPr>
          <w:ilvl w:val="0"/>
          <w:numId w:val="25"/>
        </w:numPr>
      </w:pPr>
      <w:r>
        <w:t xml:space="preserve">Challenge 3: Fusing data from satellites with different overpass times (SDGSAT-1 at 21:30 and VIIRS/DNB at 01:30) to detect </w:t>
      </w:r>
      <w:proofErr w:type="gramStart"/>
      <w:r>
        <w:t>street light</w:t>
      </w:r>
      <w:proofErr w:type="gramEnd"/>
      <w:r>
        <w:t xml:space="preserve"> turn-off policies in French villages after midnigh</w:t>
      </w:r>
      <w:r>
        <w:t>t</w:t>
      </w:r>
      <w:r>
        <w:t>.</w:t>
      </w:r>
    </w:p>
    <w:p w14:paraId="4CF3B5B5" w14:textId="5AECA41C" w:rsidR="00AC1449" w:rsidRPr="00AC1449" w:rsidRDefault="00AC1449">
      <w:pPr>
        <w:pStyle w:val="NormalWeb"/>
        <w:numPr>
          <w:ilvl w:val="1"/>
          <w:numId w:val="25"/>
        </w:numPr>
        <w:spacing w:before="0" w:beforeAutospacing="0" w:after="0" w:afterAutospacing="0"/>
        <w:rPr>
          <w:rFonts w:ascii="Arial" w:hAnsi="Arial" w:cs="Arial"/>
          <w:color w:val="1F1F1F"/>
          <w:sz w:val="20"/>
          <w:szCs w:val="20"/>
        </w:rPr>
      </w:pPr>
      <w:r w:rsidRPr="00AC1449">
        <w:rPr>
          <w:rFonts w:ascii="Arial" w:hAnsi="Arial" w:cs="Arial"/>
          <w:color w:val="1F1F1F"/>
          <w:sz w:val="20"/>
          <w:szCs w:val="20"/>
        </w:rPr>
        <w:t xml:space="preserve">Combined VIIRS/DNB (01:30 overpass) and SDGSAT-1 (21:30 overpass) data to detect French </w:t>
      </w:r>
      <w:proofErr w:type="gramStart"/>
      <w:r w:rsidRPr="00AC1449">
        <w:rPr>
          <w:rFonts w:ascii="Arial" w:hAnsi="Arial" w:cs="Arial"/>
          <w:color w:val="1F1F1F"/>
          <w:sz w:val="20"/>
          <w:szCs w:val="20"/>
        </w:rPr>
        <w:t>street light</w:t>
      </w:r>
      <w:proofErr w:type="gramEnd"/>
      <w:r w:rsidRPr="00AC1449">
        <w:rPr>
          <w:rFonts w:ascii="Arial" w:hAnsi="Arial" w:cs="Arial"/>
          <w:color w:val="1F1F1F"/>
          <w:sz w:val="20"/>
          <w:szCs w:val="20"/>
        </w:rPr>
        <w:t xml:space="preserve"> policies</w:t>
      </w:r>
      <w:r w:rsidRPr="00AC1449">
        <w:rPr>
          <w:rStyle w:val="apple-converted-space"/>
          <w:rFonts w:ascii="Arial" w:hAnsi="Arial" w:cs="Arial"/>
          <w:color w:val="1F1F1F"/>
          <w:sz w:val="20"/>
          <w:szCs w:val="20"/>
        </w:rPr>
        <w:t> </w:t>
      </w:r>
      <w:r w:rsidRPr="00AC1449">
        <w:rPr>
          <w:rFonts w:ascii="Arial" w:hAnsi="Arial" w:cs="Arial"/>
          <w:color w:val="1F1F1F"/>
          <w:sz w:val="20"/>
          <w:szCs w:val="20"/>
        </w:rPr>
        <w:t>6. Used normalized difference indices between 2021-2023 VIIRS data:</w:t>
      </w:r>
      <w:r w:rsidRPr="00AC1449">
        <w:rPr>
          <w:rStyle w:val="apple-converted-space"/>
          <w:rFonts w:ascii="Arial" w:hAnsi="Arial" w:cs="Arial"/>
          <w:color w:val="1F1F1F"/>
          <w:sz w:val="20"/>
          <w:szCs w:val="20"/>
        </w:rPr>
        <w:t> </w:t>
      </w:r>
      <m:oMath>
        <m:d>
          <m:dPr>
            <m:ctrlPr>
              <w:rPr>
                <w:rFonts w:ascii="Cambria Math" w:hAnsi="Cambria Math" w:cs="Arial"/>
                <w:sz w:val="20"/>
                <w:szCs w:val="20"/>
              </w:rPr>
            </m:ctrlPr>
          </m:dPr>
          <m:e>
            <m:r>
              <w:rPr>
                <w:rFonts w:ascii="Cambria Math" w:hAnsi="Cambria Math" w:cs="Arial"/>
                <w:sz w:val="20"/>
                <w:szCs w:val="20"/>
              </w:rPr>
              <m:t>VNL</m:t>
            </m:r>
            <m:sSub>
              <m:sSubPr>
                <m:ctrlPr>
                  <w:rPr>
                    <w:rFonts w:ascii="Cambria Math" w:hAnsi="Cambria Math" w:cs="Arial"/>
                    <w:sz w:val="20"/>
                    <w:szCs w:val="20"/>
                  </w:rPr>
                </m:ctrlPr>
              </m:sSubPr>
              <m:e>
                <m:r>
                  <w:rPr>
                    <w:rFonts w:ascii="Cambria Math" w:hAnsi="Cambria Math" w:cs="Arial"/>
                    <w:sz w:val="20"/>
                    <w:szCs w:val="20"/>
                  </w:rPr>
                  <m:t>2</m:t>
                </m:r>
              </m:e>
              <m:sub>
                <m:r>
                  <w:rPr>
                    <w:rFonts w:ascii="Cambria Math" w:hAnsi="Cambria Math" w:cs="Arial"/>
                    <w:sz w:val="20"/>
                    <w:szCs w:val="20"/>
                  </w:rPr>
                  <m:t>2023</m:t>
                </m:r>
              </m:sub>
            </m:sSub>
            <m:r>
              <w:rPr>
                <w:rFonts w:ascii="Cambria Math" w:hAnsi="Cambria Math" w:cs="Arial"/>
                <w:sz w:val="20"/>
                <w:szCs w:val="20"/>
              </w:rPr>
              <m:t>-VNL</m:t>
            </m:r>
            <m:sSub>
              <m:sSubPr>
                <m:ctrlPr>
                  <w:rPr>
                    <w:rFonts w:ascii="Cambria Math" w:hAnsi="Cambria Math" w:cs="Arial"/>
                    <w:sz w:val="20"/>
                    <w:szCs w:val="20"/>
                  </w:rPr>
                </m:ctrlPr>
              </m:sSubPr>
              <m:e>
                <m:r>
                  <w:rPr>
                    <w:rFonts w:ascii="Cambria Math" w:hAnsi="Cambria Math" w:cs="Arial"/>
                    <w:sz w:val="20"/>
                    <w:szCs w:val="20"/>
                  </w:rPr>
                  <m:t>2</m:t>
                </m:r>
              </m:e>
              <m:sub>
                <m:r>
                  <w:rPr>
                    <w:rFonts w:ascii="Cambria Math" w:hAnsi="Cambria Math" w:cs="Arial"/>
                    <w:sz w:val="20"/>
                    <w:szCs w:val="20"/>
                  </w:rPr>
                  <m:t>2021</m:t>
                </m:r>
              </m:sub>
            </m:sSub>
          </m:e>
        </m:d>
        <m:r>
          <w:rPr>
            <w:rFonts w:ascii="Cambria Math" w:hAnsi="Cambria Math" w:cs="Arial"/>
            <w:sz w:val="20"/>
            <w:szCs w:val="20"/>
          </w:rPr>
          <m:t>/</m:t>
        </m:r>
        <m:d>
          <m:dPr>
            <m:ctrlPr>
              <w:rPr>
                <w:rFonts w:ascii="Cambria Math" w:hAnsi="Cambria Math" w:cs="Arial"/>
                <w:sz w:val="20"/>
                <w:szCs w:val="20"/>
              </w:rPr>
            </m:ctrlPr>
          </m:dPr>
          <m:e>
            <m:r>
              <w:rPr>
                <w:rFonts w:ascii="Cambria Math" w:hAnsi="Cambria Math" w:cs="Arial"/>
                <w:sz w:val="20"/>
                <w:szCs w:val="20"/>
              </w:rPr>
              <m:t>VNL</m:t>
            </m:r>
            <m:sSub>
              <m:sSubPr>
                <m:ctrlPr>
                  <w:rPr>
                    <w:rFonts w:ascii="Cambria Math" w:hAnsi="Cambria Math" w:cs="Arial"/>
                    <w:sz w:val="20"/>
                    <w:szCs w:val="20"/>
                  </w:rPr>
                </m:ctrlPr>
              </m:sSubPr>
              <m:e>
                <m:r>
                  <w:rPr>
                    <w:rFonts w:ascii="Cambria Math" w:hAnsi="Cambria Math" w:cs="Arial"/>
                    <w:sz w:val="20"/>
                    <w:szCs w:val="20"/>
                  </w:rPr>
                  <m:t>2</m:t>
                </m:r>
              </m:e>
              <m:sub>
                <m:r>
                  <w:rPr>
                    <w:rFonts w:ascii="Cambria Math" w:hAnsi="Cambria Math" w:cs="Arial"/>
                    <w:sz w:val="20"/>
                    <w:szCs w:val="20"/>
                  </w:rPr>
                  <m:t>2023</m:t>
                </m:r>
              </m:sub>
            </m:sSub>
            <m:r>
              <w:rPr>
                <w:rFonts w:ascii="Cambria Math" w:hAnsi="Cambria Math" w:cs="Arial"/>
                <w:sz w:val="20"/>
                <w:szCs w:val="20"/>
              </w:rPr>
              <m:t>+VNL</m:t>
            </m:r>
            <m:sSub>
              <m:sSubPr>
                <m:ctrlPr>
                  <w:rPr>
                    <w:rFonts w:ascii="Cambria Math" w:hAnsi="Cambria Math" w:cs="Arial"/>
                    <w:sz w:val="20"/>
                    <w:szCs w:val="20"/>
                  </w:rPr>
                </m:ctrlPr>
              </m:sSubPr>
              <m:e>
                <m:r>
                  <w:rPr>
                    <w:rFonts w:ascii="Cambria Math" w:hAnsi="Cambria Math" w:cs="Arial"/>
                    <w:sz w:val="20"/>
                    <w:szCs w:val="20"/>
                  </w:rPr>
                  <m:t>2</m:t>
                </m:r>
              </m:e>
              <m:sub>
                <m:r>
                  <w:rPr>
                    <w:rFonts w:ascii="Cambria Math" w:hAnsi="Cambria Math" w:cs="Arial"/>
                    <w:sz w:val="20"/>
                    <w:szCs w:val="20"/>
                  </w:rPr>
                  <m:t>2021</m:t>
                </m:r>
              </m:sub>
            </m:sSub>
          </m:e>
        </m:d>
      </m:oMath>
      <w:r w:rsidRPr="00AC1449">
        <w:rPr>
          <w:rFonts w:ascii="Arial" w:hAnsi="Arial" w:cs="Arial"/>
          <w:color w:val="1F1F1F"/>
          <w:sz w:val="20"/>
          <w:szCs w:val="20"/>
        </w:rPr>
        <w:t>7. Applied Mann-Kendall trend analysis on monthly time series to identify statistically significant changes</w:t>
      </w:r>
      <w:r>
        <w:rPr>
          <w:rFonts w:ascii="Arial" w:hAnsi="Arial" w:cs="Arial"/>
          <w:color w:val="1F1F1F"/>
          <w:sz w:val="20"/>
          <w:szCs w:val="20"/>
        </w:rPr>
        <w:t>.</w:t>
      </w:r>
    </w:p>
    <w:p w14:paraId="1471FDE6" w14:textId="3AD5DA3E" w:rsidR="00AC1449" w:rsidRDefault="00AC1449">
      <w:pPr>
        <w:pStyle w:val="ReferenceTitle"/>
        <w:numPr>
          <w:ilvl w:val="0"/>
          <w:numId w:val="25"/>
        </w:numPr>
      </w:pPr>
      <w:r>
        <w:lastRenderedPageBreak/>
        <w:t>Challenge 4: Estimating blue light emissions, showing atmospheric scattering affects measurements differently between ground-based and spaceborne sensors.</w:t>
      </w:r>
    </w:p>
    <w:p w14:paraId="257F878F" w14:textId="0585D331" w:rsidR="00AC1449" w:rsidRDefault="00AC1449">
      <w:pPr>
        <w:pStyle w:val="ReferenceTitle"/>
        <w:numPr>
          <w:ilvl w:val="1"/>
          <w:numId w:val="25"/>
        </w:numPr>
      </w:pPr>
      <w:r w:rsidRPr="00AC1449">
        <w:t xml:space="preserve">Multi-sensor approach: Combined SVC-HR1024 field spectrometer measurements, </w:t>
      </w:r>
      <w:proofErr w:type="spellStart"/>
      <w:r w:rsidRPr="00AC1449">
        <w:t>LANcube</w:t>
      </w:r>
      <w:proofErr w:type="spellEnd"/>
      <w:r w:rsidRPr="00AC1449">
        <w:t xml:space="preserve"> mobile measurements, and SDGSAT-1 satellite data 89. Analyzed urban surface reflectance using </w:t>
      </w:r>
      <w:proofErr w:type="spellStart"/>
      <w:r w:rsidRPr="00AC1449">
        <w:t>PlanetScope</w:t>
      </w:r>
      <w:proofErr w:type="spellEnd"/>
      <w:r w:rsidRPr="00AC1449">
        <w:t xml:space="preserve"> images with unsupervised classification, finding blue band reflectance typically below 10% in urban areas 10. Conducted before/after analysis of HPS to LED transitions along Highway #1 between Tel-Aviv and Jerusalem.</w:t>
      </w:r>
    </w:p>
    <w:p w14:paraId="74260E7C" w14:textId="2B380EC2" w:rsidR="00AC1449" w:rsidRDefault="00AC1449">
      <w:pPr>
        <w:pStyle w:val="ReferenceTitle"/>
        <w:numPr>
          <w:ilvl w:val="0"/>
          <w:numId w:val="25"/>
        </w:numPr>
      </w:pPr>
      <w:r>
        <w:t>Challenge 5: Quantifying anisotropy using UAV panoramic imagery to understand how viewing angles affect light source observations.</w:t>
      </w:r>
    </w:p>
    <w:p w14:paraId="68D54EB9" w14:textId="2505FA59" w:rsidR="00AC1449" w:rsidRDefault="00AC1449">
      <w:pPr>
        <w:pStyle w:val="ReferenceTitle"/>
        <w:numPr>
          <w:ilvl w:val="1"/>
          <w:numId w:val="25"/>
        </w:numPr>
      </w:pPr>
      <w:r w:rsidRPr="00AC1449">
        <w:t>Used DJI Mavic Air 2 drone to capture 360° panoramic views from 16 individual photos at heights of 100m and 150m 12. Generated 8192×</w:t>
      </w:r>
      <w:proofErr w:type="gramStart"/>
      <w:r w:rsidRPr="00AC1449">
        <w:t>4096 pixel</w:t>
      </w:r>
      <w:proofErr w:type="gramEnd"/>
      <w:r w:rsidRPr="00AC1449">
        <w:t xml:space="preserve"> panoramas to examine how viewing angles and building obstruction affect light source visibility. Compared images at different heights to assess three-dimensional urban structure effects on light measurements</w:t>
      </w:r>
    </w:p>
    <w:p w14:paraId="53D57360" w14:textId="77777777" w:rsidR="00AC1449" w:rsidRDefault="00AC1449" w:rsidP="00AC1449">
      <w:pPr>
        <w:pStyle w:val="ReferenceTitle"/>
        <w:ind w:left="2520"/>
      </w:pPr>
    </w:p>
    <w:p w14:paraId="22003F84" w14:textId="44B2B286" w:rsidR="00AC1449" w:rsidRPr="003B65A2" w:rsidRDefault="00AC1449" w:rsidP="00AC1449">
      <w:pPr>
        <w:pStyle w:val="ReferenceTitle"/>
        <w:ind w:left="1080"/>
      </w:pPr>
      <w:r>
        <w:t>The study concludes that fusing data from different sensors with unique spatial, spectral, temporal, and directional capabilities can significantly advance our understanding of nighttime human activities and progress toward UN Sustainable Development Goals.</w:t>
      </w:r>
    </w:p>
    <w:p w14:paraId="7078282A" w14:textId="77777777" w:rsidR="00283EDC" w:rsidRPr="003B65A2" w:rsidRDefault="00283EDC" w:rsidP="00283EDC">
      <w:pPr>
        <w:rPr>
          <w:rFonts w:ascii="Arial" w:hAnsi="Arial" w:cs="Arial"/>
          <w:color w:val="000000" w:themeColor="text1"/>
          <w:sz w:val="20"/>
          <w:szCs w:val="20"/>
        </w:rPr>
      </w:pPr>
    </w:p>
    <w:p w14:paraId="08926DDD" w14:textId="1FBDBBA7" w:rsidR="006C2667" w:rsidRPr="006C2667" w:rsidRDefault="006C2667">
      <w:pPr>
        <w:pStyle w:val="ListParagraph"/>
        <w:numPr>
          <w:ilvl w:val="0"/>
          <w:numId w:val="15"/>
        </w:numPr>
        <w:rPr>
          <w:rFonts w:ascii="Arial" w:hAnsi="Arial" w:cs="Arial"/>
          <w:color w:val="000000" w:themeColor="text1"/>
          <w:sz w:val="20"/>
          <w:szCs w:val="20"/>
        </w:rPr>
      </w:pPr>
      <w:r w:rsidRPr="006C2667">
        <w:rPr>
          <w:rFonts w:ascii="Arial" w:hAnsi="Arial" w:cs="Arial"/>
          <w:color w:val="000000" w:themeColor="text1"/>
          <w:sz w:val="20"/>
          <w:szCs w:val="20"/>
        </w:rPr>
        <w:t xml:space="preserve">Friedrich, H.K., Aggarwal, E., Buijs, S.L., Chakraborty, S., Hall, C.A., Hu, Y., &amp; Tellman, B. (2026). </w:t>
      </w:r>
      <w:r w:rsidRPr="006C2667">
        <w:rPr>
          <w:rFonts w:ascii="Arial" w:hAnsi="Arial" w:cs="Arial"/>
          <w:b/>
          <w:bCs/>
          <w:color w:val="000000" w:themeColor="text1"/>
          <w:sz w:val="20"/>
          <w:szCs w:val="20"/>
        </w:rPr>
        <w:t>Satellite earth observation for recovery from hydrometeorological hazards</w:t>
      </w:r>
      <w:r w:rsidRPr="006C2667">
        <w:rPr>
          <w:rFonts w:ascii="Arial" w:hAnsi="Arial" w:cs="Arial"/>
          <w:color w:val="000000" w:themeColor="text1"/>
          <w:sz w:val="20"/>
          <w:szCs w:val="20"/>
        </w:rPr>
        <w:t>. Water Security, 28</w:t>
      </w:r>
      <w:r>
        <w:rPr>
          <w:rFonts w:ascii="Arial" w:hAnsi="Arial" w:cs="Arial"/>
          <w:color w:val="000000" w:themeColor="text1"/>
          <w:sz w:val="20"/>
          <w:szCs w:val="20"/>
        </w:rPr>
        <w:t xml:space="preserve">, </w:t>
      </w:r>
      <w:hyperlink r:id="rId12" w:history="1">
        <w:r w:rsidRPr="002A2250">
          <w:rPr>
            <w:rStyle w:val="Hyperlink"/>
            <w:rFonts w:ascii="Arial" w:hAnsi="Arial" w:cs="Arial"/>
            <w:sz w:val="20"/>
            <w:szCs w:val="20"/>
          </w:rPr>
          <w:t>https://doi.org/10.1016/j.wasec.2026.100205</w:t>
        </w:r>
      </w:hyperlink>
      <w:r>
        <w:rPr>
          <w:rFonts w:ascii="Arial" w:hAnsi="Arial" w:cs="Arial"/>
          <w:color w:val="000000" w:themeColor="text1"/>
          <w:sz w:val="20"/>
          <w:szCs w:val="20"/>
        </w:rPr>
        <w:t xml:space="preserve"> </w:t>
      </w:r>
    </w:p>
    <w:p w14:paraId="748D7B51" w14:textId="54F27255" w:rsidR="006C2667" w:rsidRPr="006C2667" w:rsidRDefault="006C2667" w:rsidP="006C2667">
      <w:pPr>
        <w:ind w:left="1080"/>
        <w:rPr>
          <w:rFonts w:ascii="Arial" w:hAnsi="Arial" w:cs="Arial"/>
          <w:color w:val="000000" w:themeColor="text1"/>
          <w:sz w:val="20"/>
          <w:szCs w:val="20"/>
        </w:rPr>
      </w:pPr>
      <w:r w:rsidRPr="006C2667">
        <w:rPr>
          <w:rFonts w:ascii="Arial" w:hAnsi="Arial" w:cs="Arial"/>
          <w:color w:val="000000" w:themeColor="text1"/>
          <w:sz w:val="20"/>
          <w:szCs w:val="20"/>
        </w:rPr>
        <w:t>This article examines how satellite Earth Observation (EO) can monitor recovery from hydrometeorological hazards like floods and hurricanes. The authors present a typology of five recovery heuristics: physical, qualitative, functional, resilience-relative, and risk-relative recovery.</w:t>
      </w:r>
    </w:p>
    <w:p w14:paraId="72C0CFEE" w14:textId="77777777" w:rsidR="006C2667" w:rsidRPr="006C2667" w:rsidRDefault="006C2667" w:rsidP="006C2667">
      <w:pPr>
        <w:ind w:left="1080"/>
        <w:rPr>
          <w:rFonts w:ascii="Arial" w:hAnsi="Arial" w:cs="Arial"/>
          <w:color w:val="000000" w:themeColor="text1"/>
          <w:sz w:val="20"/>
          <w:szCs w:val="20"/>
        </w:rPr>
      </w:pPr>
      <w:r w:rsidRPr="006C2667">
        <w:rPr>
          <w:rFonts w:ascii="Arial" w:hAnsi="Arial" w:cs="Arial"/>
          <w:color w:val="000000" w:themeColor="text1"/>
          <w:sz w:val="20"/>
          <w:szCs w:val="20"/>
        </w:rPr>
        <w:t>Key Findings</w:t>
      </w:r>
    </w:p>
    <w:p w14:paraId="69F5C0E3" w14:textId="75B89697" w:rsidR="006C2667" w:rsidRPr="006C2667" w:rsidRDefault="006C2667">
      <w:pPr>
        <w:pStyle w:val="ListParagraph"/>
        <w:numPr>
          <w:ilvl w:val="0"/>
          <w:numId w:val="26"/>
        </w:numPr>
        <w:rPr>
          <w:rFonts w:ascii="Arial" w:hAnsi="Arial" w:cs="Arial"/>
          <w:color w:val="000000" w:themeColor="text1"/>
          <w:sz w:val="20"/>
          <w:szCs w:val="20"/>
        </w:rPr>
      </w:pPr>
      <w:r w:rsidRPr="006C2667">
        <w:rPr>
          <w:rFonts w:ascii="Arial" w:hAnsi="Arial" w:cs="Arial"/>
          <w:color w:val="000000" w:themeColor="text1"/>
          <w:sz w:val="20"/>
          <w:szCs w:val="20"/>
        </w:rPr>
        <w:t>EO Applications: Four main features are mapped for recovery monitoring: land cover/land use, vegetation/agriculture, electricity (via nighttime lights), and built infrastructure. Nighttime lights provide high-frequency monitoring of power outages as recovery proxies.</w:t>
      </w:r>
    </w:p>
    <w:p w14:paraId="13F5C62B" w14:textId="0773A958" w:rsidR="006C2667" w:rsidRPr="006C2667" w:rsidRDefault="006C2667">
      <w:pPr>
        <w:pStyle w:val="ListParagraph"/>
        <w:numPr>
          <w:ilvl w:val="0"/>
          <w:numId w:val="26"/>
        </w:numPr>
        <w:rPr>
          <w:rFonts w:ascii="Arial" w:hAnsi="Arial" w:cs="Arial"/>
          <w:color w:val="000000" w:themeColor="text1"/>
          <w:sz w:val="20"/>
          <w:szCs w:val="20"/>
        </w:rPr>
      </w:pPr>
      <w:r w:rsidRPr="006C2667">
        <w:rPr>
          <w:rFonts w:ascii="Arial" w:hAnsi="Arial" w:cs="Arial"/>
          <w:color w:val="000000" w:themeColor="text1"/>
          <w:sz w:val="20"/>
          <w:szCs w:val="20"/>
        </w:rPr>
        <w:t>Integration Challenges: While EO effectively captures physical changes, integrating non-EO data sources remains inconsistent. This limits assessments of functional intent, resilience, and risk-based recovery components.</w:t>
      </w:r>
    </w:p>
    <w:p w14:paraId="56C02335" w14:textId="69EB6396" w:rsidR="006C2667" w:rsidRPr="006C2667" w:rsidRDefault="006C2667">
      <w:pPr>
        <w:pStyle w:val="ListParagraph"/>
        <w:numPr>
          <w:ilvl w:val="0"/>
          <w:numId w:val="26"/>
        </w:numPr>
        <w:rPr>
          <w:rFonts w:ascii="Arial" w:hAnsi="Arial" w:cs="Arial"/>
          <w:color w:val="000000" w:themeColor="text1"/>
          <w:sz w:val="20"/>
          <w:szCs w:val="20"/>
        </w:rPr>
      </w:pPr>
      <w:r w:rsidRPr="006C2667">
        <w:rPr>
          <w:rFonts w:ascii="Arial" w:hAnsi="Arial" w:cs="Arial"/>
          <w:color w:val="000000" w:themeColor="text1"/>
          <w:sz w:val="20"/>
          <w:szCs w:val="20"/>
        </w:rPr>
        <w:t xml:space="preserve">Multi-hazard Gaps: Current applications focus on single hazards rather than compound or cascading events. The authors identify this as a critical frontier given increasing climate </w:t>
      </w:r>
      <w:proofErr w:type="gramStart"/>
      <w:r w:rsidRPr="006C2667">
        <w:rPr>
          <w:rFonts w:ascii="Arial" w:hAnsi="Arial" w:cs="Arial"/>
          <w:color w:val="000000" w:themeColor="text1"/>
          <w:sz w:val="20"/>
          <w:szCs w:val="20"/>
        </w:rPr>
        <w:t>risks</w:t>
      </w:r>
      <w:proofErr w:type="gramEnd"/>
      <w:r w:rsidRPr="006C2667">
        <w:rPr>
          <w:rFonts w:ascii="Arial" w:hAnsi="Arial" w:cs="Arial"/>
          <w:color w:val="000000" w:themeColor="text1"/>
          <w:sz w:val="20"/>
          <w:szCs w:val="20"/>
        </w:rPr>
        <w:t>.</w:t>
      </w:r>
    </w:p>
    <w:p w14:paraId="127B051F" w14:textId="1F47D50A" w:rsidR="00283EDC" w:rsidRPr="006C2667" w:rsidRDefault="006C2667">
      <w:pPr>
        <w:pStyle w:val="ListParagraph"/>
        <w:numPr>
          <w:ilvl w:val="0"/>
          <w:numId w:val="26"/>
        </w:numPr>
        <w:rPr>
          <w:rFonts w:ascii="Arial" w:hAnsi="Arial" w:cs="Arial"/>
          <w:color w:val="000000" w:themeColor="text1"/>
          <w:sz w:val="20"/>
          <w:szCs w:val="20"/>
        </w:rPr>
      </w:pPr>
      <w:r w:rsidRPr="006C2667">
        <w:rPr>
          <w:rFonts w:ascii="Arial" w:hAnsi="Arial" w:cs="Arial"/>
          <w:color w:val="000000" w:themeColor="text1"/>
          <w:sz w:val="20"/>
          <w:szCs w:val="20"/>
        </w:rPr>
        <w:t>Future Directions: The study emphasizes expanding integration of EO with non-EO data to achieve more contextual recovery measures, particularly for multi-hazard events that pose compounding risks.</w:t>
      </w:r>
    </w:p>
    <w:p w14:paraId="123E7B50" w14:textId="77777777" w:rsidR="00283EDC" w:rsidRPr="003B65A2" w:rsidRDefault="00283EDC" w:rsidP="00283EDC">
      <w:pPr>
        <w:rPr>
          <w:rFonts w:ascii="Arial" w:hAnsi="Arial" w:cs="Arial"/>
          <w:color w:val="000000" w:themeColor="text1"/>
          <w:sz w:val="20"/>
          <w:szCs w:val="20"/>
        </w:rPr>
      </w:pPr>
    </w:p>
    <w:p w14:paraId="55A1281B" w14:textId="77777777" w:rsidR="00283EDC" w:rsidRPr="003B65A2" w:rsidRDefault="00283EDC" w:rsidP="00283EDC">
      <w:pPr>
        <w:rPr>
          <w:rFonts w:ascii="Arial" w:hAnsi="Arial" w:cs="Arial"/>
          <w:color w:val="000000" w:themeColor="text1"/>
          <w:sz w:val="20"/>
          <w:szCs w:val="20"/>
        </w:rPr>
      </w:pPr>
    </w:p>
    <w:p w14:paraId="029927FD" w14:textId="77777777" w:rsidR="00283EDC" w:rsidRPr="003B65A2" w:rsidRDefault="00283EDC" w:rsidP="00283EDC">
      <w:pPr>
        <w:rPr>
          <w:rFonts w:ascii="Arial" w:hAnsi="Arial" w:cs="Arial"/>
          <w:color w:val="000000" w:themeColor="text1"/>
          <w:sz w:val="20"/>
          <w:szCs w:val="20"/>
        </w:rPr>
      </w:pPr>
    </w:p>
    <w:p w14:paraId="2C4F79D7" w14:textId="77777777" w:rsidR="00283EDC" w:rsidRPr="003B65A2" w:rsidRDefault="00283EDC" w:rsidP="00283EDC">
      <w:pPr>
        <w:rPr>
          <w:rFonts w:ascii="Arial" w:hAnsi="Arial" w:cs="Arial"/>
          <w:color w:val="000000" w:themeColor="text1"/>
          <w:sz w:val="20"/>
          <w:szCs w:val="20"/>
        </w:rPr>
      </w:pPr>
    </w:p>
    <w:p w14:paraId="76D6D517" w14:textId="77777777" w:rsidR="006C66C8" w:rsidRPr="003B65A2" w:rsidRDefault="006C66C8" w:rsidP="00283EDC">
      <w:pPr>
        <w:rPr>
          <w:rFonts w:ascii="Arial" w:hAnsi="Arial" w:cs="Arial"/>
          <w:color w:val="000000" w:themeColor="text1"/>
          <w:sz w:val="20"/>
          <w:szCs w:val="20"/>
        </w:rPr>
      </w:pPr>
    </w:p>
    <w:p w14:paraId="374357B2" w14:textId="77777777" w:rsidR="006C66C8" w:rsidRPr="003B65A2" w:rsidRDefault="006C66C8" w:rsidP="00283EDC">
      <w:pPr>
        <w:rPr>
          <w:rFonts w:ascii="Arial" w:hAnsi="Arial" w:cs="Arial"/>
          <w:color w:val="000000" w:themeColor="text1"/>
          <w:sz w:val="20"/>
          <w:szCs w:val="20"/>
        </w:rPr>
      </w:pPr>
    </w:p>
    <w:p w14:paraId="35C30509" w14:textId="77777777" w:rsidR="00283EDC" w:rsidRPr="003B65A2" w:rsidRDefault="00283EDC" w:rsidP="00283EDC">
      <w:pPr>
        <w:rPr>
          <w:rFonts w:ascii="Arial" w:hAnsi="Arial" w:cs="Arial"/>
          <w:color w:val="000000" w:themeColor="text1"/>
          <w:sz w:val="20"/>
          <w:szCs w:val="20"/>
        </w:rPr>
      </w:pPr>
    </w:p>
    <w:sectPr w:rsidR="00283EDC" w:rsidRPr="003B65A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7885E13" w14:textId="77777777" w:rsidR="001B1C37" w:rsidRDefault="001B1C37" w:rsidP="004833D3">
      <w:pPr>
        <w:spacing w:after="0" w:line="240" w:lineRule="auto"/>
      </w:pPr>
      <w:r>
        <w:separator/>
      </w:r>
    </w:p>
  </w:endnote>
  <w:endnote w:type="continuationSeparator" w:id="0">
    <w:p w14:paraId="2B2300D4" w14:textId="77777777" w:rsidR="001B1C37" w:rsidRDefault="001B1C37" w:rsidP="004833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FDC01C4" w14:textId="77777777" w:rsidR="001B1C37" w:rsidRDefault="001B1C37" w:rsidP="004833D3">
      <w:pPr>
        <w:spacing w:after="0" w:line="240" w:lineRule="auto"/>
      </w:pPr>
      <w:r>
        <w:separator/>
      </w:r>
    </w:p>
  </w:footnote>
  <w:footnote w:type="continuationSeparator" w:id="0">
    <w:p w14:paraId="68B1CB14" w14:textId="77777777" w:rsidR="001B1C37" w:rsidRDefault="001B1C37" w:rsidP="004833D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8"/>
    <w:multiLevelType w:val="singleLevel"/>
    <w:tmpl w:val="7BC4AE70"/>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6A34B812"/>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20F2735"/>
    <w:multiLevelType w:val="hybridMultilevel"/>
    <w:tmpl w:val="8C0E84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815A5C"/>
    <w:multiLevelType w:val="hybridMultilevel"/>
    <w:tmpl w:val="89BA0B5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15976C8D"/>
    <w:multiLevelType w:val="multilevel"/>
    <w:tmpl w:val="653C14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DB6AF5"/>
    <w:multiLevelType w:val="hybridMultilevel"/>
    <w:tmpl w:val="8B0CCC7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2DFA7931"/>
    <w:multiLevelType w:val="hybridMultilevel"/>
    <w:tmpl w:val="22346ECA"/>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2E07785A"/>
    <w:multiLevelType w:val="multilevel"/>
    <w:tmpl w:val="B78CE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3E6382"/>
    <w:multiLevelType w:val="hybridMultilevel"/>
    <w:tmpl w:val="62F272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5314A5D"/>
    <w:multiLevelType w:val="hybridMultilevel"/>
    <w:tmpl w:val="EF680B3E"/>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36BE4727"/>
    <w:multiLevelType w:val="hybridMultilevel"/>
    <w:tmpl w:val="990A7E40"/>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hint="default"/>
      </w:rPr>
    </w:lvl>
    <w:lvl w:ilvl="2" w:tplc="04090005">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3A9F1AEF"/>
    <w:multiLevelType w:val="hybridMultilevel"/>
    <w:tmpl w:val="01F46CF6"/>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3B0869D8"/>
    <w:multiLevelType w:val="hybridMultilevel"/>
    <w:tmpl w:val="8D6E2F8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3C7F0C3C"/>
    <w:multiLevelType w:val="hybridMultilevel"/>
    <w:tmpl w:val="528EA130"/>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414C33BE"/>
    <w:multiLevelType w:val="multilevel"/>
    <w:tmpl w:val="8F7062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6F6848"/>
    <w:multiLevelType w:val="hybridMultilevel"/>
    <w:tmpl w:val="DE54E7C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458C5EEA"/>
    <w:multiLevelType w:val="hybridMultilevel"/>
    <w:tmpl w:val="FB1C29E2"/>
    <w:lvl w:ilvl="0" w:tplc="0409000F">
      <w:start w:val="1"/>
      <w:numFmt w:val="decimal"/>
      <w:lvlText w:val="%1."/>
      <w:lvlJc w:val="left"/>
      <w:pPr>
        <w:ind w:left="2160" w:hanging="360"/>
      </w:pPr>
      <w:rPr>
        <w:rFonts w:hint="default"/>
        <w:color w:val="000000" w:themeColor="text1"/>
      </w:rPr>
    </w:lvl>
    <w:lvl w:ilvl="1" w:tplc="FFFFFFFF">
      <w:start w:val="1"/>
      <w:numFmt w:val="bullet"/>
      <w:lvlText w:val="o"/>
      <w:lvlJc w:val="left"/>
      <w:pPr>
        <w:ind w:left="3960" w:hanging="360"/>
      </w:pPr>
      <w:rPr>
        <w:rFonts w:ascii="Courier New" w:hAnsi="Courier New" w:hint="default"/>
      </w:rPr>
    </w:lvl>
    <w:lvl w:ilvl="2" w:tplc="FFFFFFFF">
      <w:start w:val="1"/>
      <w:numFmt w:val="bullet"/>
      <w:lvlText w:val=""/>
      <w:lvlJc w:val="left"/>
      <w:pPr>
        <w:ind w:left="4680" w:hanging="360"/>
      </w:pPr>
      <w:rPr>
        <w:rFonts w:ascii="Wingdings" w:hAnsi="Wingdings" w:hint="default"/>
      </w:rPr>
    </w:lvl>
    <w:lvl w:ilvl="3" w:tplc="FFFFFFFF" w:tentative="1">
      <w:start w:val="1"/>
      <w:numFmt w:val="bullet"/>
      <w:lvlText w:val=""/>
      <w:lvlJc w:val="left"/>
      <w:pPr>
        <w:ind w:left="5400" w:hanging="360"/>
      </w:pPr>
      <w:rPr>
        <w:rFonts w:ascii="Symbol" w:hAnsi="Symbol" w:hint="default"/>
      </w:rPr>
    </w:lvl>
    <w:lvl w:ilvl="4" w:tplc="FFFFFFFF" w:tentative="1">
      <w:start w:val="1"/>
      <w:numFmt w:val="bullet"/>
      <w:lvlText w:val="o"/>
      <w:lvlJc w:val="left"/>
      <w:pPr>
        <w:ind w:left="6120" w:hanging="360"/>
      </w:pPr>
      <w:rPr>
        <w:rFonts w:ascii="Courier New" w:hAnsi="Courier New" w:hint="default"/>
      </w:rPr>
    </w:lvl>
    <w:lvl w:ilvl="5" w:tplc="FFFFFFFF" w:tentative="1">
      <w:start w:val="1"/>
      <w:numFmt w:val="bullet"/>
      <w:lvlText w:val=""/>
      <w:lvlJc w:val="left"/>
      <w:pPr>
        <w:ind w:left="6840" w:hanging="360"/>
      </w:pPr>
      <w:rPr>
        <w:rFonts w:ascii="Wingdings" w:hAnsi="Wingdings" w:hint="default"/>
      </w:rPr>
    </w:lvl>
    <w:lvl w:ilvl="6" w:tplc="FFFFFFFF" w:tentative="1">
      <w:start w:val="1"/>
      <w:numFmt w:val="bullet"/>
      <w:lvlText w:val=""/>
      <w:lvlJc w:val="left"/>
      <w:pPr>
        <w:ind w:left="7560" w:hanging="360"/>
      </w:pPr>
      <w:rPr>
        <w:rFonts w:ascii="Symbol" w:hAnsi="Symbol" w:hint="default"/>
      </w:rPr>
    </w:lvl>
    <w:lvl w:ilvl="7" w:tplc="FFFFFFFF" w:tentative="1">
      <w:start w:val="1"/>
      <w:numFmt w:val="bullet"/>
      <w:lvlText w:val="o"/>
      <w:lvlJc w:val="left"/>
      <w:pPr>
        <w:ind w:left="8280" w:hanging="360"/>
      </w:pPr>
      <w:rPr>
        <w:rFonts w:ascii="Courier New" w:hAnsi="Courier New" w:hint="default"/>
      </w:rPr>
    </w:lvl>
    <w:lvl w:ilvl="8" w:tplc="FFFFFFFF" w:tentative="1">
      <w:start w:val="1"/>
      <w:numFmt w:val="bullet"/>
      <w:lvlText w:val=""/>
      <w:lvlJc w:val="left"/>
      <w:pPr>
        <w:ind w:left="9000" w:hanging="360"/>
      </w:pPr>
      <w:rPr>
        <w:rFonts w:ascii="Wingdings" w:hAnsi="Wingdings" w:hint="default"/>
      </w:rPr>
    </w:lvl>
  </w:abstractNum>
  <w:abstractNum w:abstractNumId="17" w15:restartNumberingAfterBreak="0">
    <w:nsid w:val="4B7E5B61"/>
    <w:multiLevelType w:val="hybridMultilevel"/>
    <w:tmpl w:val="C3A2A4D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51993045"/>
    <w:multiLevelType w:val="hybridMultilevel"/>
    <w:tmpl w:val="E2A6A47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52D90C5E"/>
    <w:multiLevelType w:val="hybridMultilevel"/>
    <w:tmpl w:val="6A665F4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 w15:restartNumberingAfterBreak="0">
    <w:nsid w:val="5B9A6968"/>
    <w:multiLevelType w:val="hybridMultilevel"/>
    <w:tmpl w:val="0D26AF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C7820FE"/>
    <w:multiLevelType w:val="hybridMultilevel"/>
    <w:tmpl w:val="E8B611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07C41CA"/>
    <w:multiLevelType w:val="multilevel"/>
    <w:tmpl w:val="6C043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087B58"/>
    <w:multiLevelType w:val="hybridMultilevel"/>
    <w:tmpl w:val="8936401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4" w15:restartNumberingAfterBreak="0">
    <w:nsid w:val="6BE56F6B"/>
    <w:multiLevelType w:val="hybridMultilevel"/>
    <w:tmpl w:val="63C6FBDA"/>
    <w:lvl w:ilvl="0" w:tplc="14F6A612">
      <w:start w:val="1"/>
      <w:numFmt w:val="upperRoman"/>
      <w:lvlText w:val="%1."/>
      <w:lvlJc w:val="left"/>
      <w:pPr>
        <w:ind w:left="1080" w:hanging="720"/>
      </w:pPr>
      <w:rPr>
        <w:rFonts w:hint="default"/>
        <w:color w:val="000000" w:themeColor="text1"/>
      </w:rPr>
    </w:lvl>
    <w:lvl w:ilvl="1" w:tplc="D3B69906">
      <w:numFmt w:val="bullet"/>
      <w:lvlText w:val="•"/>
      <w:lvlJc w:val="left"/>
      <w:pPr>
        <w:ind w:left="1440" w:hanging="360"/>
      </w:pPr>
      <w:rPr>
        <w:rFonts w:ascii="Arial" w:eastAsiaTheme="majorEastAsia" w:hAnsi="Arial" w:cs="Arial" w:hint="default"/>
      </w:rPr>
    </w:lvl>
    <w:lvl w:ilvl="2" w:tplc="6E8448FE">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F8B018B"/>
    <w:multiLevelType w:val="hybridMultilevel"/>
    <w:tmpl w:val="BE38E9A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040356934">
    <w:abstractNumId w:val="8"/>
  </w:num>
  <w:num w:numId="2" w16cid:durableId="1782726945">
    <w:abstractNumId w:val="1"/>
  </w:num>
  <w:num w:numId="3" w16cid:durableId="1666323828">
    <w:abstractNumId w:val="0"/>
  </w:num>
  <w:num w:numId="4" w16cid:durableId="1142381954">
    <w:abstractNumId w:val="2"/>
  </w:num>
  <w:num w:numId="5" w16cid:durableId="274482900">
    <w:abstractNumId w:val="9"/>
  </w:num>
  <w:num w:numId="6" w16cid:durableId="1478953833">
    <w:abstractNumId w:val="25"/>
  </w:num>
  <w:num w:numId="7" w16cid:durableId="1759866222">
    <w:abstractNumId w:val="21"/>
  </w:num>
  <w:num w:numId="8" w16cid:durableId="1319266487">
    <w:abstractNumId w:val="15"/>
  </w:num>
  <w:num w:numId="9" w16cid:durableId="297493802">
    <w:abstractNumId w:val="5"/>
  </w:num>
  <w:num w:numId="10" w16cid:durableId="1229615924">
    <w:abstractNumId w:val="20"/>
  </w:num>
  <w:num w:numId="11" w16cid:durableId="1774204836">
    <w:abstractNumId w:val="14"/>
  </w:num>
  <w:num w:numId="12" w16cid:durableId="513998911">
    <w:abstractNumId w:val="22"/>
  </w:num>
  <w:num w:numId="13" w16cid:durableId="1637906607">
    <w:abstractNumId w:val="7"/>
  </w:num>
  <w:num w:numId="14" w16cid:durableId="1982533314">
    <w:abstractNumId w:val="4"/>
  </w:num>
  <w:num w:numId="15" w16cid:durableId="273947552">
    <w:abstractNumId w:val="24"/>
  </w:num>
  <w:num w:numId="16" w16cid:durableId="419259914">
    <w:abstractNumId w:val="19"/>
  </w:num>
  <w:num w:numId="17" w16cid:durableId="1755935042">
    <w:abstractNumId w:val="11"/>
  </w:num>
  <w:num w:numId="18" w16cid:durableId="357967705">
    <w:abstractNumId w:val="10"/>
  </w:num>
  <w:num w:numId="19" w16cid:durableId="2104643772">
    <w:abstractNumId w:val="16"/>
  </w:num>
  <w:num w:numId="20" w16cid:durableId="745492236">
    <w:abstractNumId w:val="13"/>
  </w:num>
  <w:num w:numId="21" w16cid:durableId="1716469832">
    <w:abstractNumId w:val="17"/>
  </w:num>
  <w:num w:numId="22" w16cid:durableId="1705250948">
    <w:abstractNumId w:val="12"/>
  </w:num>
  <w:num w:numId="23" w16cid:durableId="796142831">
    <w:abstractNumId w:val="3"/>
  </w:num>
  <w:num w:numId="24" w16cid:durableId="2041856563">
    <w:abstractNumId w:val="23"/>
  </w:num>
  <w:num w:numId="25" w16cid:durableId="1677492113">
    <w:abstractNumId w:val="6"/>
  </w:num>
  <w:num w:numId="26" w16cid:durableId="563030934">
    <w:abstractNumId w:val="18"/>
  </w:num>
  <w:numIdMacAtCleanup w:val="2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72C0"/>
    <w:rsid w:val="00023DF0"/>
    <w:rsid w:val="00024AE0"/>
    <w:rsid w:val="000425D4"/>
    <w:rsid w:val="00090EAC"/>
    <w:rsid w:val="00093309"/>
    <w:rsid w:val="000C3476"/>
    <w:rsid w:val="00155CB9"/>
    <w:rsid w:val="00171A4B"/>
    <w:rsid w:val="00177727"/>
    <w:rsid w:val="001B1C37"/>
    <w:rsid w:val="001C0953"/>
    <w:rsid w:val="001E4743"/>
    <w:rsid w:val="001F180C"/>
    <w:rsid w:val="00236FC8"/>
    <w:rsid w:val="002472C0"/>
    <w:rsid w:val="0024748F"/>
    <w:rsid w:val="002719A6"/>
    <w:rsid w:val="00283EDC"/>
    <w:rsid w:val="00290101"/>
    <w:rsid w:val="002A3133"/>
    <w:rsid w:val="002A46BB"/>
    <w:rsid w:val="002A5E53"/>
    <w:rsid w:val="002C7FDB"/>
    <w:rsid w:val="002D387F"/>
    <w:rsid w:val="002F4A01"/>
    <w:rsid w:val="002F6031"/>
    <w:rsid w:val="003135C8"/>
    <w:rsid w:val="00317F5C"/>
    <w:rsid w:val="00366D72"/>
    <w:rsid w:val="0038486D"/>
    <w:rsid w:val="003B65A2"/>
    <w:rsid w:val="003B7E05"/>
    <w:rsid w:val="003C2533"/>
    <w:rsid w:val="003C777D"/>
    <w:rsid w:val="003E0D84"/>
    <w:rsid w:val="003F6F85"/>
    <w:rsid w:val="0040082C"/>
    <w:rsid w:val="004029D9"/>
    <w:rsid w:val="00403F2A"/>
    <w:rsid w:val="004143D7"/>
    <w:rsid w:val="00452D71"/>
    <w:rsid w:val="00456167"/>
    <w:rsid w:val="00483187"/>
    <w:rsid w:val="004833D3"/>
    <w:rsid w:val="00491EB4"/>
    <w:rsid w:val="00494460"/>
    <w:rsid w:val="004A5F9E"/>
    <w:rsid w:val="004B7EE5"/>
    <w:rsid w:val="004C55AC"/>
    <w:rsid w:val="004F380D"/>
    <w:rsid w:val="00520A89"/>
    <w:rsid w:val="00523EB9"/>
    <w:rsid w:val="0053419F"/>
    <w:rsid w:val="00547EB8"/>
    <w:rsid w:val="00575BF6"/>
    <w:rsid w:val="00576513"/>
    <w:rsid w:val="005820A7"/>
    <w:rsid w:val="005870F7"/>
    <w:rsid w:val="005902E5"/>
    <w:rsid w:val="005910E8"/>
    <w:rsid w:val="005F7C7E"/>
    <w:rsid w:val="00607EE5"/>
    <w:rsid w:val="006331E8"/>
    <w:rsid w:val="006362B4"/>
    <w:rsid w:val="00656B03"/>
    <w:rsid w:val="00693E05"/>
    <w:rsid w:val="006A60E2"/>
    <w:rsid w:val="006B1C21"/>
    <w:rsid w:val="006C2667"/>
    <w:rsid w:val="006C2EF6"/>
    <w:rsid w:val="006C5F39"/>
    <w:rsid w:val="006C66C8"/>
    <w:rsid w:val="006E4648"/>
    <w:rsid w:val="00704931"/>
    <w:rsid w:val="00746FE9"/>
    <w:rsid w:val="00746FFA"/>
    <w:rsid w:val="00761E7E"/>
    <w:rsid w:val="00763F42"/>
    <w:rsid w:val="00765937"/>
    <w:rsid w:val="00783DF7"/>
    <w:rsid w:val="007858CD"/>
    <w:rsid w:val="00797AA2"/>
    <w:rsid w:val="007B55D6"/>
    <w:rsid w:val="007E0CB1"/>
    <w:rsid w:val="008171A4"/>
    <w:rsid w:val="00847E70"/>
    <w:rsid w:val="008876A7"/>
    <w:rsid w:val="008D48DF"/>
    <w:rsid w:val="008E4CE6"/>
    <w:rsid w:val="00912979"/>
    <w:rsid w:val="009900FF"/>
    <w:rsid w:val="009A35B8"/>
    <w:rsid w:val="009A46E4"/>
    <w:rsid w:val="009B044A"/>
    <w:rsid w:val="009B362E"/>
    <w:rsid w:val="009B5519"/>
    <w:rsid w:val="009B610D"/>
    <w:rsid w:val="009B6EC7"/>
    <w:rsid w:val="009B7106"/>
    <w:rsid w:val="009C70B6"/>
    <w:rsid w:val="009F53D4"/>
    <w:rsid w:val="00A176B2"/>
    <w:rsid w:val="00A37B8A"/>
    <w:rsid w:val="00A40AAE"/>
    <w:rsid w:val="00A4463C"/>
    <w:rsid w:val="00A644E5"/>
    <w:rsid w:val="00A70259"/>
    <w:rsid w:val="00A80145"/>
    <w:rsid w:val="00A81B1E"/>
    <w:rsid w:val="00A92508"/>
    <w:rsid w:val="00A97D36"/>
    <w:rsid w:val="00AC1449"/>
    <w:rsid w:val="00AC4734"/>
    <w:rsid w:val="00AC66E5"/>
    <w:rsid w:val="00AD2E00"/>
    <w:rsid w:val="00AE61E1"/>
    <w:rsid w:val="00B3166D"/>
    <w:rsid w:val="00B405C2"/>
    <w:rsid w:val="00B81085"/>
    <w:rsid w:val="00B96683"/>
    <w:rsid w:val="00BA71FB"/>
    <w:rsid w:val="00BD0C64"/>
    <w:rsid w:val="00BD1278"/>
    <w:rsid w:val="00BD4BF1"/>
    <w:rsid w:val="00BD665A"/>
    <w:rsid w:val="00C25508"/>
    <w:rsid w:val="00C43160"/>
    <w:rsid w:val="00C65B5C"/>
    <w:rsid w:val="00C67332"/>
    <w:rsid w:val="00C8260C"/>
    <w:rsid w:val="00C85324"/>
    <w:rsid w:val="00C97C46"/>
    <w:rsid w:val="00CA6E52"/>
    <w:rsid w:val="00CB6EA6"/>
    <w:rsid w:val="00CC2D7A"/>
    <w:rsid w:val="00CC31BA"/>
    <w:rsid w:val="00CD5EE5"/>
    <w:rsid w:val="00CF7DB7"/>
    <w:rsid w:val="00D1012A"/>
    <w:rsid w:val="00D534D1"/>
    <w:rsid w:val="00D87CEC"/>
    <w:rsid w:val="00DA14DB"/>
    <w:rsid w:val="00DA2E93"/>
    <w:rsid w:val="00DB2536"/>
    <w:rsid w:val="00DC44F6"/>
    <w:rsid w:val="00E034D2"/>
    <w:rsid w:val="00E1176B"/>
    <w:rsid w:val="00E24A44"/>
    <w:rsid w:val="00E73810"/>
    <w:rsid w:val="00E73972"/>
    <w:rsid w:val="00EA0B7D"/>
    <w:rsid w:val="00EA222E"/>
    <w:rsid w:val="00EA2D72"/>
    <w:rsid w:val="00EC69F5"/>
    <w:rsid w:val="00ED290F"/>
    <w:rsid w:val="00EE3424"/>
    <w:rsid w:val="00EF084A"/>
    <w:rsid w:val="00F00244"/>
    <w:rsid w:val="00F060F9"/>
    <w:rsid w:val="00F15A34"/>
    <w:rsid w:val="00F57EB6"/>
    <w:rsid w:val="00F776D1"/>
    <w:rsid w:val="00F8319F"/>
    <w:rsid w:val="00F85CB9"/>
    <w:rsid w:val="00FD1D3E"/>
    <w:rsid w:val="00FE1C5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949684"/>
  <w15:chartTrackingRefBased/>
  <w15:docId w15:val="{C646C41A-6DF0-5145-81E1-4ECCB0F51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72C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472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472C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72C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72C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72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72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72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72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72C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472C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472C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72C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72C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72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72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72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72C0"/>
    <w:rPr>
      <w:rFonts w:eastAsiaTheme="majorEastAsia" w:cstheme="majorBidi"/>
      <w:color w:val="272727" w:themeColor="text1" w:themeTint="D8"/>
    </w:rPr>
  </w:style>
  <w:style w:type="paragraph" w:styleId="Title">
    <w:name w:val="Title"/>
    <w:basedOn w:val="Normal"/>
    <w:next w:val="Normal"/>
    <w:link w:val="TitleChar"/>
    <w:uiPriority w:val="10"/>
    <w:qFormat/>
    <w:rsid w:val="002472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72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72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72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72C0"/>
    <w:pPr>
      <w:spacing w:before="160"/>
      <w:jc w:val="center"/>
    </w:pPr>
    <w:rPr>
      <w:i/>
      <w:iCs/>
      <w:color w:val="404040" w:themeColor="text1" w:themeTint="BF"/>
    </w:rPr>
  </w:style>
  <w:style w:type="character" w:customStyle="1" w:styleId="QuoteChar">
    <w:name w:val="Quote Char"/>
    <w:basedOn w:val="DefaultParagraphFont"/>
    <w:link w:val="Quote"/>
    <w:uiPriority w:val="29"/>
    <w:rsid w:val="002472C0"/>
    <w:rPr>
      <w:i/>
      <w:iCs/>
      <w:color w:val="404040" w:themeColor="text1" w:themeTint="BF"/>
    </w:rPr>
  </w:style>
  <w:style w:type="paragraph" w:styleId="ListParagraph">
    <w:name w:val="List Paragraph"/>
    <w:basedOn w:val="Normal"/>
    <w:uiPriority w:val="34"/>
    <w:qFormat/>
    <w:rsid w:val="002472C0"/>
    <w:pPr>
      <w:ind w:left="720"/>
      <w:contextualSpacing/>
    </w:pPr>
  </w:style>
  <w:style w:type="character" w:styleId="IntenseEmphasis">
    <w:name w:val="Intense Emphasis"/>
    <w:basedOn w:val="DefaultParagraphFont"/>
    <w:uiPriority w:val="21"/>
    <w:qFormat/>
    <w:rsid w:val="002472C0"/>
    <w:rPr>
      <w:i/>
      <w:iCs/>
      <w:color w:val="0F4761" w:themeColor="accent1" w:themeShade="BF"/>
    </w:rPr>
  </w:style>
  <w:style w:type="paragraph" w:styleId="IntenseQuote">
    <w:name w:val="Intense Quote"/>
    <w:basedOn w:val="Normal"/>
    <w:next w:val="Normal"/>
    <w:link w:val="IntenseQuoteChar"/>
    <w:uiPriority w:val="30"/>
    <w:qFormat/>
    <w:rsid w:val="002472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72C0"/>
    <w:rPr>
      <w:i/>
      <w:iCs/>
      <w:color w:val="0F4761" w:themeColor="accent1" w:themeShade="BF"/>
    </w:rPr>
  </w:style>
  <w:style w:type="character" w:styleId="IntenseReference">
    <w:name w:val="Intense Reference"/>
    <w:basedOn w:val="DefaultParagraphFont"/>
    <w:uiPriority w:val="32"/>
    <w:qFormat/>
    <w:rsid w:val="002472C0"/>
    <w:rPr>
      <w:b/>
      <w:bCs/>
      <w:smallCaps/>
      <w:color w:val="0F4761" w:themeColor="accent1" w:themeShade="BF"/>
      <w:spacing w:val="5"/>
    </w:rPr>
  </w:style>
  <w:style w:type="paragraph" w:styleId="NormalWeb">
    <w:name w:val="Normal (Web)"/>
    <w:basedOn w:val="Normal"/>
    <w:uiPriority w:val="99"/>
    <w:unhideWhenUsed/>
    <w:rsid w:val="002472C0"/>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styleId="Header">
    <w:name w:val="header"/>
    <w:basedOn w:val="Normal"/>
    <w:link w:val="HeaderChar"/>
    <w:uiPriority w:val="99"/>
    <w:unhideWhenUsed/>
    <w:rsid w:val="004833D3"/>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33D3"/>
  </w:style>
  <w:style w:type="paragraph" w:styleId="Footer">
    <w:name w:val="footer"/>
    <w:basedOn w:val="Normal"/>
    <w:link w:val="FooterChar"/>
    <w:uiPriority w:val="99"/>
    <w:unhideWhenUsed/>
    <w:rsid w:val="004833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33D3"/>
  </w:style>
  <w:style w:type="table" w:styleId="TableGrid">
    <w:name w:val="Table Grid"/>
    <w:basedOn w:val="TableNormal"/>
    <w:uiPriority w:val="59"/>
    <w:rsid w:val="004833D3"/>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unhideWhenUsed/>
    <w:rsid w:val="00A37B8A"/>
    <w:pPr>
      <w:numPr>
        <w:numId w:val="2"/>
      </w:numPr>
      <w:tabs>
        <w:tab w:val="clear" w:pos="360"/>
      </w:tabs>
      <w:spacing w:after="120" w:line="259" w:lineRule="auto"/>
      <w:ind w:left="0" w:firstLine="0"/>
      <w:contextualSpacing/>
    </w:pPr>
    <w:rPr>
      <w:rFonts w:ascii="Arial" w:eastAsia="Arial" w:hAnsi="Arial"/>
      <w:kern w:val="0"/>
      <w:sz w:val="20"/>
      <w:szCs w:val="22"/>
      <w:lang w:val="en-US"/>
      <w14:ligatures w14:val="none"/>
    </w:rPr>
  </w:style>
  <w:style w:type="paragraph" w:styleId="ListNumber">
    <w:name w:val="List Number"/>
    <w:basedOn w:val="Normal"/>
    <w:uiPriority w:val="99"/>
    <w:unhideWhenUsed/>
    <w:rsid w:val="00A37B8A"/>
    <w:pPr>
      <w:numPr>
        <w:numId w:val="3"/>
      </w:numPr>
      <w:tabs>
        <w:tab w:val="clear" w:pos="360"/>
      </w:tabs>
      <w:spacing w:after="120" w:line="259" w:lineRule="auto"/>
      <w:ind w:left="0" w:firstLine="0"/>
      <w:contextualSpacing/>
    </w:pPr>
    <w:rPr>
      <w:rFonts w:ascii="Arial" w:eastAsia="Arial" w:hAnsi="Arial"/>
      <w:kern w:val="0"/>
      <w:sz w:val="20"/>
      <w:szCs w:val="22"/>
      <w:lang w:val="en-US"/>
      <w14:ligatures w14:val="none"/>
    </w:rPr>
  </w:style>
  <w:style w:type="paragraph" w:styleId="TOCHeading">
    <w:name w:val="TOC Heading"/>
    <w:basedOn w:val="Heading1"/>
    <w:next w:val="Normal"/>
    <w:uiPriority w:val="39"/>
    <w:unhideWhenUsed/>
    <w:qFormat/>
    <w:rsid w:val="00290101"/>
    <w:pPr>
      <w:spacing w:before="480" w:after="0" w:line="276" w:lineRule="auto"/>
      <w:outlineLvl w:val="9"/>
    </w:pPr>
    <w:rPr>
      <w:b/>
      <w:bCs/>
      <w:kern w:val="0"/>
      <w:sz w:val="28"/>
      <w:szCs w:val="28"/>
      <w:lang w:val="en-US"/>
      <w14:ligatures w14:val="none"/>
    </w:rPr>
  </w:style>
  <w:style w:type="paragraph" w:styleId="TOC2">
    <w:name w:val="toc 2"/>
    <w:basedOn w:val="Normal"/>
    <w:next w:val="Normal"/>
    <w:autoRedefine/>
    <w:uiPriority w:val="39"/>
    <w:unhideWhenUsed/>
    <w:rsid w:val="00290101"/>
    <w:pPr>
      <w:spacing w:before="120" w:after="0"/>
      <w:ind w:left="240"/>
    </w:pPr>
    <w:rPr>
      <w:b/>
      <w:bCs/>
      <w:sz w:val="22"/>
      <w:szCs w:val="22"/>
    </w:rPr>
  </w:style>
  <w:style w:type="paragraph" w:styleId="TOC1">
    <w:name w:val="toc 1"/>
    <w:basedOn w:val="Normal"/>
    <w:next w:val="Normal"/>
    <w:autoRedefine/>
    <w:uiPriority w:val="39"/>
    <w:unhideWhenUsed/>
    <w:rsid w:val="00290101"/>
    <w:pPr>
      <w:spacing w:before="120" w:after="0"/>
    </w:pPr>
    <w:rPr>
      <w:b/>
      <w:bCs/>
      <w:i/>
      <w:iCs/>
    </w:rPr>
  </w:style>
  <w:style w:type="character" w:styleId="Hyperlink">
    <w:name w:val="Hyperlink"/>
    <w:basedOn w:val="DefaultParagraphFont"/>
    <w:uiPriority w:val="99"/>
    <w:unhideWhenUsed/>
    <w:rsid w:val="00290101"/>
    <w:rPr>
      <w:color w:val="467886" w:themeColor="hyperlink"/>
      <w:u w:val="single"/>
    </w:rPr>
  </w:style>
  <w:style w:type="paragraph" w:styleId="TOC3">
    <w:name w:val="toc 3"/>
    <w:basedOn w:val="Normal"/>
    <w:next w:val="Normal"/>
    <w:autoRedefine/>
    <w:uiPriority w:val="39"/>
    <w:semiHidden/>
    <w:unhideWhenUsed/>
    <w:rsid w:val="00290101"/>
    <w:pPr>
      <w:spacing w:after="0"/>
      <w:ind w:left="480"/>
    </w:pPr>
    <w:rPr>
      <w:sz w:val="20"/>
      <w:szCs w:val="20"/>
    </w:rPr>
  </w:style>
  <w:style w:type="paragraph" w:styleId="TOC4">
    <w:name w:val="toc 4"/>
    <w:basedOn w:val="Normal"/>
    <w:next w:val="Normal"/>
    <w:autoRedefine/>
    <w:uiPriority w:val="39"/>
    <w:semiHidden/>
    <w:unhideWhenUsed/>
    <w:rsid w:val="00290101"/>
    <w:pPr>
      <w:spacing w:after="0"/>
      <w:ind w:left="720"/>
    </w:pPr>
    <w:rPr>
      <w:sz w:val="20"/>
      <w:szCs w:val="20"/>
    </w:rPr>
  </w:style>
  <w:style w:type="paragraph" w:styleId="TOC5">
    <w:name w:val="toc 5"/>
    <w:basedOn w:val="Normal"/>
    <w:next w:val="Normal"/>
    <w:autoRedefine/>
    <w:uiPriority w:val="39"/>
    <w:semiHidden/>
    <w:unhideWhenUsed/>
    <w:rsid w:val="00290101"/>
    <w:pPr>
      <w:spacing w:after="0"/>
      <w:ind w:left="960"/>
    </w:pPr>
    <w:rPr>
      <w:sz w:val="20"/>
      <w:szCs w:val="20"/>
    </w:rPr>
  </w:style>
  <w:style w:type="paragraph" w:styleId="TOC6">
    <w:name w:val="toc 6"/>
    <w:basedOn w:val="Normal"/>
    <w:next w:val="Normal"/>
    <w:autoRedefine/>
    <w:uiPriority w:val="39"/>
    <w:semiHidden/>
    <w:unhideWhenUsed/>
    <w:rsid w:val="00290101"/>
    <w:pPr>
      <w:spacing w:after="0"/>
      <w:ind w:left="1200"/>
    </w:pPr>
    <w:rPr>
      <w:sz w:val="20"/>
      <w:szCs w:val="20"/>
    </w:rPr>
  </w:style>
  <w:style w:type="paragraph" w:styleId="TOC7">
    <w:name w:val="toc 7"/>
    <w:basedOn w:val="Normal"/>
    <w:next w:val="Normal"/>
    <w:autoRedefine/>
    <w:uiPriority w:val="39"/>
    <w:semiHidden/>
    <w:unhideWhenUsed/>
    <w:rsid w:val="00290101"/>
    <w:pPr>
      <w:spacing w:after="0"/>
      <w:ind w:left="1440"/>
    </w:pPr>
    <w:rPr>
      <w:sz w:val="20"/>
      <w:szCs w:val="20"/>
    </w:rPr>
  </w:style>
  <w:style w:type="paragraph" w:styleId="TOC8">
    <w:name w:val="toc 8"/>
    <w:basedOn w:val="Normal"/>
    <w:next w:val="Normal"/>
    <w:autoRedefine/>
    <w:uiPriority w:val="39"/>
    <w:semiHidden/>
    <w:unhideWhenUsed/>
    <w:rsid w:val="00290101"/>
    <w:pPr>
      <w:spacing w:after="0"/>
      <w:ind w:left="1680"/>
    </w:pPr>
    <w:rPr>
      <w:sz w:val="20"/>
      <w:szCs w:val="20"/>
    </w:rPr>
  </w:style>
  <w:style w:type="paragraph" w:styleId="TOC9">
    <w:name w:val="toc 9"/>
    <w:basedOn w:val="Normal"/>
    <w:next w:val="Normal"/>
    <w:autoRedefine/>
    <w:uiPriority w:val="39"/>
    <w:semiHidden/>
    <w:unhideWhenUsed/>
    <w:rsid w:val="00290101"/>
    <w:pPr>
      <w:spacing w:after="0"/>
      <w:ind w:left="1920"/>
    </w:pPr>
    <w:rPr>
      <w:sz w:val="20"/>
      <w:szCs w:val="20"/>
    </w:rPr>
  </w:style>
  <w:style w:type="paragraph" w:customStyle="1" w:styleId="jot-paragraph-element">
    <w:name w:val="jot-paragraph-element"/>
    <w:basedOn w:val="Normal"/>
    <w:rsid w:val="00A40AAE"/>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Strong">
    <w:name w:val="Strong"/>
    <w:basedOn w:val="DefaultParagraphFont"/>
    <w:uiPriority w:val="22"/>
    <w:qFormat/>
    <w:rsid w:val="00A40AAE"/>
    <w:rPr>
      <w:b/>
      <w:bCs/>
    </w:rPr>
  </w:style>
  <w:style w:type="paragraph" w:customStyle="1" w:styleId="jot-list-item-element">
    <w:name w:val="jot-list-item-element"/>
    <w:basedOn w:val="Normal"/>
    <w:rsid w:val="00A40AAE"/>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customStyle="1" w:styleId="ReferenceTitle">
    <w:name w:val="Reference Title"/>
    <w:basedOn w:val="Heading1"/>
    <w:qFormat/>
    <w:rsid w:val="00A40AAE"/>
    <w:pPr>
      <w:spacing w:before="0" w:after="0"/>
    </w:pPr>
    <w:rPr>
      <w:rFonts w:ascii="Arial" w:hAnsi="Arial" w:cs="Arial"/>
      <w:color w:val="000000" w:themeColor="text1"/>
      <w:sz w:val="20"/>
      <w:szCs w:val="20"/>
      <w:lang w:val="en-US"/>
    </w:rPr>
  </w:style>
  <w:style w:type="character" w:styleId="UnresolvedMention">
    <w:name w:val="Unresolved Mention"/>
    <w:basedOn w:val="DefaultParagraphFont"/>
    <w:uiPriority w:val="99"/>
    <w:semiHidden/>
    <w:unhideWhenUsed/>
    <w:rsid w:val="00A40AAE"/>
    <w:rPr>
      <w:color w:val="605E5C"/>
      <w:shd w:val="clear" w:color="auto" w:fill="E1DFDD"/>
    </w:rPr>
  </w:style>
  <w:style w:type="character" w:styleId="FollowedHyperlink">
    <w:name w:val="FollowedHyperlink"/>
    <w:basedOn w:val="DefaultParagraphFont"/>
    <w:uiPriority w:val="99"/>
    <w:semiHidden/>
    <w:unhideWhenUsed/>
    <w:rsid w:val="005F7C7E"/>
    <w:rPr>
      <w:color w:val="96607D" w:themeColor="followedHyperlink"/>
      <w:u w:val="single"/>
    </w:rPr>
  </w:style>
  <w:style w:type="table" w:styleId="PlainTable1">
    <w:name w:val="Plain Table 1"/>
    <w:basedOn w:val="TableNormal"/>
    <w:uiPriority w:val="41"/>
    <w:rsid w:val="005F7C7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5F7C7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apple-converted-space">
    <w:name w:val="apple-converted-space"/>
    <w:basedOn w:val="DefaultParagraphFont"/>
    <w:rsid w:val="00AC14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07/s41885-024-00152-6"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016/j.wasec.2026.100205"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16/j.rse.2025.114869" TargetMode="External"/><Relationship Id="rId5" Type="http://schemas.openxmlformats.org/officeDocument/2006/relationships/webSettings" Target="webSettings.xml"/><Relationship Id="rId10" Type="http://schemas.openxmlformats.org/officeDocument/2006/relationships/hyperlink" Target="https://doi.org/10.1016/j.rse.2026.115328" TargetMode="External"/><Relationship Id="rId4" Type="http://schemas.openxmlformats.org/officeDocument/2006/relationships/settings" Target="settings.xml"/><Relationship Id="rId9" Type="http://schemas.openxmlformats.org/officeDocument/2006/relationships/hyperlink" Target="https://doi.org/10.1016/j.jenvman.2021.112776"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3758C7-3A3E-C345-84C2-BECEB5C1BA43}">
  <ds:schemaRefs>
    <ds:schemaRef ds:uri="http://schemas.openxmlformats.org/officeDocument/2006/bibliography"/>
  </ds:schemaRefs>
</ds:datastoreItem>
</file>

<file path=docMetadata/LabelInfo.xml><?xml version="1.0" encoding="utf-8"?>
<clbl:labelList xmlns:clbl="http://schemas.microsoft.com/office/2020/mipLabelMetadata">
  <clbl:label id="{d1323671-cdbe-4417-b4d4-bdb24b51316b}" enabled="0" method="" siteId="{d1323671-cdbe-4417-b4d4-bdb24b51316b}" removed="1"/>
</clbl:labelList>
</file>

<file path=docProps/app.xml><?xml version="1.0" encoding="utf-8"?>
<Properties xmlns="http://schemas.openxmlformats.org/officeDocument/2006/extended-properties" xmlns:vt="http://schemas.openxmlformats.org/officeDocument/2006/docPropsVTypes">
  <Template>Normal.dotm</Template>
  <TotalTime>137</TotalTime>
  <Pages>1</Pages>
  <Words>2671</Words>
  <Characters>15228</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Rene Principe</dc:creator>
  <cp:keywords/>
  <dc:description/>
  <cp:lastModifiedBy>Rene Jr Principe</cp:lastModifiedBy>
  <cp:revision>60</cp:revision>
  <dcterms:created xsi:type="dcterms:W3CDTF">2026-07-01T06:31:00Z</dcterms:created>
  <dcterms:modified xsi:type="dcterms:W3CDTF">2026-07-07T09:05:00Z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BEBC6F4D-BB02-4FAE-AF19-BA84628E2291</vt:lpwstr>
  </property>
</Properties>
</file>