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F147A" w14:textId="77777777" w:rsidR="000905E3" w:rsidRPr="000905E3" w:rsidRDefault="000905E3" w:rsidP="000905E3">
      <w:pPr>
        <w:rPr>
          <w:b/>
          <w:bCs/>
        </w:rPr>
      </w:pPr>
      <w:r w:rsidRPr="000905E3">
        <w:rPr>
          <w:b/>
          <w:bCs/>
        </w:rPr>
        <w:t>1. Definición de oferta relevante</w:t>
      </w:r>
    </w:p>
    <w:p w14:paraId="66816DBA" w14:textId="77777777" w:rsidR="000905E3" w:rsidRPr="000905E3" w:rsidRDefault="000905E3" w:rsidP="000905E3">
      <w:r w:rsidRPr="000905E3">
        <w:t>La relevancia de la oferta se evalúa por entidad financiera, comparando el monto desembolsado en cada banco con el monto ofertado por IBK. Se considera relevante un desembolso individual que no supere 1.2 veces la oferta de IBK, sin evaluar el umbral sobre la suma de desembolsos en todas las entidades.</w:t>
      </w:r>
    </w:p>
    <w:p w14:paraId="0E5B5782" w14:textId="77777777" w:rsidR="000905E3" w:rsidRPr="000905E3" w:rsidRDefault="000905E3" w:rsidP="000905E3">
      <w:r w:rsidRPr="000905E3">
        <w:t>Este enfoque permite identificar casos en los que el cliente distribuye su necesidad de financiamiento entre varias entidades. Así, aunque el desembolso total supere 1.2 veces la oferta, un desembolso individual dentro del umbral evidencia que la oferta de IBK pudo ser competitiva para cubrir parte de dicha necesidad.</w:t>
      </w:r>
    </w:p>
    <w:p w14:paraId="6138CF05" w14:textId="77777777" w:rsidR="000905E3" w:rsidRPr="000905E3" w:rsidRDefault="000905E3" w:rsidP="000905E3">
      <w:r w:rsidRPr="000905E3">
        <w:rPr>
          <w:b/>
          <w:bCs/>
        </w:rPr>
        <w:t>Criterio de inclusión:</w:t>
      </w:r>
      <w:r w:rsidRPr="000905E3">
        <w:t xml:space="preserve"> si al menos una entidad cumple el criterio de relevancia, el cliente ingresa a la población de efectividad.</w:t>
      </w:r>
    </w:p>
    <w:p w14:paraId="5B6AE6E1" w14:textId="77777777" w:rsidR="000905E3" w:rsidRPr="000905E3" w:rsidRDefault="000905E3" w:rsidP="000905E3">
      <w:r w:rsidRPr="000905E3">
        <w:rPr>
          <w:b/>
          <w:bCs/>
        </w:rPr>
        <w:t>Regla de contabilización:</w:t>
      </w:r>
      <w:r w:rsidRPr="000905E3">
        <w:t xml:space="preserve"> cada cliente se contabiliza una sola vez, dado que recibió una única oferta de IBK, independientemente de la cantidad de entidades en las que registre desembolsos relevantes.</w:t>
      </w:r>
    </w:p>
    <w:p w14:paraId="2F282D71" w14:textId="77777777" w:rsidR="000905E3" w:rsidRPr="000905E3" w:rsidRDefault="000905E3" w:rsidP="000905E3">
      <w:r w:rsidRPr="000905E3">
        <w:rPr>
          <w:b/>
          <w:bCs/>
        </w:rPr>
        <w:t>En síntesis:</w:t>
      </w:r>
      <w:r w:rsidRPr="000905E3">
        <w:t xml:space="preserve"> una oferta por cliente → evaluación de relevancia por entidad → inclusión si al menos una entidad cumple el criterio → contabilización de un único lead por cliente.</w:t>
      </w:r>
    </w:p>
    <w:p w14:paraId="33640A83" w14:textId="77777777" w:rsidR="000905E3" w:rsidRPr="000905E3" w:rsidRDefault="000905E3" w:rsidP="000905E3">
      <w:pPr>
        <w:rPr>
          <w:b/>
          <w:bCs/>
        </w:rPr>
      </w:pPr>
      <w:r w:rsidRPr="000905E3">
        <w:rPr>
          <w:b/>
          <w:bCs/>
        </w:rPr>
        <w:t>2. Inferencia de tasa</w:t>
      </w:r>
    </w:p>
    <w:p w14:paraId="1FF421DA" w14:textId="77777777" w:rsidR="000905E3" w:rsidRPr="000905E3" w:rsidRDefault="000905E3" w:rsidP="000905E3">
      <w:pPr>
        <w:rPr>
          <w:b/>
          <w:bCs/>
        </w:rPr>
      </w:pPr>
      <w:r w:rsidRPr="000905E3">
        <w:rPr>
          <w:b/>
          <w:bCs/>
        </w:rPr>
        <w:t>2.1. Antecedente metodológico</w:t>
      </w:r>
    </w:p>
    <w:p w14:paraId="73C36F00" w14:textId="77777777" w:rsidR="000905E3" w:rsidRPr="000905E3" w:rsidRDefault="000905E3" w:rsidP="000905E3">
      <w:r w:rsidRPr="000905E3">
        <w:t xml:space="preserve">La inferencia de tasa se obtiene ex post. Una de las metodologías utilizadas consiste en optimizar la curva de desgaste de saldos observada para una cosecha. Por ello, para un crédito actual no se dispone de una inferencia propia, sino que se utiliza como referencia la última inferencia disponible para su </w:t>
      </w:r>
      <w:proofErr w:type="spellStart"/>
      <w:r w:rsidRPr="000905E3">
        <w:t>bucket</w:t>
      </w:r>
      <w:proofErr w:type="spellEnd"/>
      <w:r w:rsidRPr="000905E3">
        <w:t>, bajo el supuesto de que el comportamiento observado en cosechas anteriores es representativo de los nuevos créditos.</w:t>
      </w:r>
    </w:p>
    <w:p w14:paraId="2B8645CB" w14:textId="77777777" w:rsidR="000905E3" w:rsidRPr="000905E3" w:rsidRDefault="000905E3" w:rsidP="000905E3">
      <w:pPr>
        <w:rPr>
          <w:b/>
          <w:bCs/>
        </w:rPr>
      </w:pPr>
      <w:r w:rsidRPr="000905E3">
        <w:rPr>
          <w:b/>
          <w:bCs/>
        </w:rPr>
        <w:t xml:space="preserve">2.2. Alineamiento temporal y riesgo de </w:t>
      </w:r>
      <w:r w:rsidRPr="000905E3">
        <w:rPr>
          <w:b/>
          <w:bCs/>
          <w:i/>
          <w:iCs/>
        </w:rPr>
        <w:t xml:space="preserve">data </w:t>
      </w:r>
      <w:proofErr w:type="spellStart"/>
      <w:r w:rsidRPr="000905E3">
        <w:rPr>
          <w:b/>
          <w:bCs/>
          <w:i/>
          <w:iCs/>
        </w:rPr>
        <w:t>leakage</w:t>
      </w:r>
      <w:proofErr w:type="spellEnd"/>
    </w:p>
    <w:p w14:paraId="59303AB6" w14:textId="77777777" w:rsidR="000905E3" w:rsidRPr="000905E3" w:rsidRDefault="000905E3" w:rsidP="000905E3">
      <w:r w:rsidRPr="000905E3">
        <w:t>Se requiere validar si el modelo de elasticidad debería replicar, para cada cosecha histórica, la información que habría estado disponible en producción en la fecha de referencia correspondiente.</w:t>
      </w:r>
    </w:p>
    <w:p w14:paraId="2A493A46" w14:textId="77777777" w:rsidR="000905E3" w:rsidRPr="000905E3" w:rsidRDefault="000905E3" w:rsidP="000905E3">
      <w:r w:rsidRPr="000905E3">
        <w:t>Por ejemplo, si se requieren tres meses de maduración, a inicios de mayo de 2026 la última inferencia disponible podría corresponder a enero de 2026. Aunque actualmente se conozca la inferencia de mayo de 2026, esta se obtiene posteriormente, utilizando información que no estaba disponible al momento de la evaluación.</w:t>
      </w:r>
    </w:p>
    <w:p w14:paraId="564D6752" w14:textId="77777777" w:rsidR="000905E3" w:rsidRPr="000905E3" w:rsidRDefault="000905E3" w:rsidP="000905E3">
      <w:r w:rsidRPr="000905E3">
        <w:lastRenderedPageBreak/>
        <w:t xml:space="preserve">En este contexto, utilizar la inferencia de la misma cosecha podría introducir un riesgo de </w:t>
      </w:r>
      <w:r w:rsidRPr="000905E3">
        <w:rPr>
          <w:i/>
          <w:iCs/>
        </w:rPr>
        <w:t xml:space="preserve">data </w:t>
      </w:r>
      <w:proofErr w:type="spellStart"/>
      <w:r w:rsidRPr="000905E3">
        <w:rPr>
          <w:i/>
          <w:iCs/>
        </w:rPr>
        <w:t>leakage</w:t>
      </w:r>
      <w:proofErr w:type="spellEnd"/>
      <w:r w:rsidRPr="000905E3">
        <w:t>, al incorporar información generada con posterioridad a la fecha de referencia.</w:t>
      </w:r>
    </w:p>
    <w:p w14:paraId="72819119" w14:textId="77777777" w:rsidR="000905E3" w:rsidRPr="000905E3" w:rsidRDefault="000905E3" w:rsidP="000905E3">
      <w:r w:rsidRPr="000905E3">
        <w:rPr>
          <w:b/>
          <w:bCs/>
        </w:rPr>
        <w:t>Consulta de alineamiento:</w:t>
      </w:r>
      <w:r w:rsidRPr="000905E3">
        <w:t xml:space="preserve"> ¿sería recomendable utilizar, para cada cosecha histórica, la última inferencia disponible a la fecha de referencia correspondiente, replicando así las condiciones de información que habrían existido en producción?</w:t>
      </w:r>
    </w:p>
    <w:p w14:paraId="6FA863E4" w14:textId="77777777" w:rsidR="000905E3" w:rsidRPr="000905E3" w:rsidRDefault="000905E3" w:rsidP="000905E3">
      <w:pPr>
        <w:rPr>
          <w:b/>
          <w:bCs/>
        </w:rPr>
      </w:pPr>
      <w:r w:rsidRPr="000905E3">
        <w:rPr>
          <w:b/>
          <w:bCs/>
        </w:rPr>
        <w:t>2.3. Alineamiento con la señal utilizada en producción</w:t>
      </w:r>
    </w:p>
    <w:p w14:paraId="2A0D0CC1" w14:textId="77777777" w:rsidR="000905E3" w:rsidRPr="000905E3" w:rsidRDefault="000905E3" w:rsidP="000905E3">
      <w:r w:rsidRPr="000905E3">
        <w:t>Actualmente se dispone de inferencias para múltiples bancos; sin embargo, la implementación productiva podría utilizar únicamente un subconjunto de estas o una tasa consolidada.</w:t>
      </w:r>
    </w:p>
    <w:p w14:paraId="51AF0361" w14:textId="77777777" w:rsidR="000905E3" w:rsidRPr="000905E3" w:rsidRDefault="000905E3" w:rsidP="000905E3">
      <w:r w:rsidRPr="000905E3">
        <w:rPr>
          <w:b/>
          <w:bCs/>
        </w:rPr>
        <w:t>Consulta de alineamiento:</w:t>
      </w:r>
      <w:r w:rsidRPr="000905E3">
        <w:t xml:space="preserve"> ¿qué bancos o definición de inferencia se utilizarán finalmente como input en producción? Para mantener la consistencia entre el modelamiento y su aplicación, ¿convendría construir el modelo de elasticidad utilizando esa misma definición de señal?</w:t>
      </w:r>
    </w:p>
    <w:p w14:paraId="2EAF474C" w14:textId="77777777" w:rsidR="00E73E54" w:rsidRDefault="00E73E54"/>
    <w:sectPr w:rsidR="00E73E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5E3"/>
    <w:rsid w:val="00047489"/>
    <w:rsid w:val="000905E3"/>
    <w:rsid w:val="00742FE6"/>
    <w:rsid w:val="00E73E54"/>
    <w:rsid w:val="00FE788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2473"/>
  <w15:chartTrackingRefBased/>
  <w15:docId w15:val="{D8D7DD86-591F-4203-ADD8-38CCB4FD0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0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0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05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05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05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05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05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05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05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05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05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05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05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05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05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05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05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05E3"/>
    <w:rPr>
      <w:rFonts w:eastAsiaTheme="majorEastAsia" w:cstheme="majorBidi"/>
      <w:color w:val="272727" w:themeColor="text1" w:themeTint="D8"/>
    </w:rPr>
  </w:style>
  <w:style w:type="paragraph" w:styleId="Ttulo">
    <w:name w:val="Title"/>
    <w:basedOn w:val="Normal"/>
    <w:next w:val="Normal"/>
    <w:link w:val="TtuloCar"/>
    <w:uiPriority w:val="10"/>
    <w:qFormat/>
    <w:rsid w:val="00090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05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05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05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05E3"/>
    <w:pPr>
      <w:spacing w:before="160"/>
      <w:jc w:val="center"/>
    </w:pPr>
    <w:rPr>
      <w:i/>
      <w:iCs/>
      <w:color w:val="404040" w:themeColor="text1" w:themeTint="BF"/>
    </w:rPr>
  </w:style>
  <w:style w:type="character" w:customStyle="1" w:styleId="CitaCar">
    <w:name w:val="Cita Car"/>
    <w:basedOn w:val="Fuentedeprrafopredeter"/>
    <w:link w:val="Cita"/>
    <w:uiPriority w:val="29"/>
    <w:rsid w:val="000905E3"/>
    <w:rPr>
      <w:i/>
      <w:iCs/>
      <w:color w:val="404040" w:themeColor="text1" w:themeTint="BF"/>
    </w:rPr>
  </w:style>
  <w:style w:type="paragraph" w:styleId="Prrafodelista">
    <w:name w:val="List Paragraph"/>
    <w:basedOn w:val="Normal"/>
    <w:uiPriority w:val="34"/>
    <w:qFormat/>
    <w:rsid w:val="000905E3"/>
    <w:pPr>
      <w:ind w:left="720"/>
      <w:contextualSpacing/>
    </w:pPr>
  </w:style>
  <w:style w:type="character" w:styleId="nfasisintenso">
    <w:name w:val="Intense Emphasis"/>
    <w:basedOn w:val="Fuentedeprrafopredeter"/>
    <w:uiPriority w:val="21"/>
    <w:qFormat/>
    <w:rsid w:val="000905E3"/>
    <w:rPr>
      <w:i/>
      <w:iCs/>
      <w:color w:val="0F4761" w:themeColor="accent1" w:themeShade="BF"/>
    </w:rPr>
  </w:style>
  <w:style w:type="paragraph" w:styleId="Citadestacada">
    <w:name w:val="Intense Quote"/>
    <w:basedOn w:val="Normal"/>
    <w:next w:val="Normal"/>
    <w:link w:val="CitadestacadaCar"/>
    <w:uiPriority w:val="30"/>
    <w:qFormat/>
    <w:rsid w:val="00090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05E3"/>
    <w:rPr>
      <w:i/>
      <w:iCs/>
      <w:color w:val="0F4761" w:themeColor="accent1" w:themeShade="BF"/>
    </w:rPr>
  </w:style>
  <w:style w:type="character" w:styleId="Referenciaintensa">
    <w:name w:val="Intense Reference"/>
    <w:basedOn w:val="Fuentedeprrafopredeter"/>
    <w:uiPriority w:val="32"/>
    <w:qFormat/>
    <w:rsid w:val="000905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485</Words>
  <Characters>2669</Characters>
  <Application>Microsoft Office Word</Application>
  <DocSecurity>0</DocSecurity>
  <Lines>22</Lines>
  <Paragraphs>6</Paragraphs>
  <ScaleCrop>false</ScaleCrop>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Sangacha</dc:creator>
  <cp:keywords/>
  <dc:description/>
  <cp:lastModifiedBy>Rene Sangacha</cp:lastModifiedBy>
  <cp:revision>1</cp:revision>
  <dcterms:created xsi:type="dcterms:W3CDTF">2026-10-11T18:19:00Z</dcterms:created>
  <dcterms:modified xsi:type="dcterms:W3CDTF">2026-10-11T18:20:00Z</dcterms:modified>
</cp:coreProperties>
</file>