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6.png" ContentType="image/png"/>
  <Override PartName="/word/media/rId40.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828970de4cde1d3ac8afa72c216697d0f467dfe"/>
    <w:p>
      <w:pPr>
        <w:pStyle w:val="Heading1"/>
      </w:pPr>
      <w:r>
        <w:t xml:space="preserve">Do institutional thresholds improve exchange-rate stress early warning? A replication-to-deployment evaluation with a pre-specified confirmation period</w:t>
      </w:r>
    </w:p>
    <w:bookmarkStart w:id="9" w:name="abstract"/>
    <w:p>
      <w:pPr>
        <w:pStyle w:val="Heading2"/>
      </w:pPr>
      <w:r>
        <w:t xml:space="preserve">Abstract</w:t>
      </w:r>
    </w:p>
    <w:p>
      <w:pPr>
        <w:pStyle w:val="FirstParagraph"/>
      </w:pPr>
      <w:r>
        <w:t xml:space="preserve">Panel threshold regressions suggest that the macroeconomic effects of currency internationalization (CI) depend on institutional quality (IQ). We test whether such evidence improves early warning of exchange-rate stress. A replication-to-deployment framework links a forensic replication of reported threshold estimates to a publication-lag-aware pseudo-real-time backtest and a decision layer. With data for nine emerging economies, all 12 reported threshold F statistics are reproduced once a degrees-of-freedom convention is identified, but 4 of 8 significant threshold effects disappear under 15% trimming. In a retrospective out-of-time evaluation (2017-2022, 121 high-risk windows), adding CI never raised average precision (AP) by the smallest effect of interest (0.02), and a CI x IQ interaction did not differ from an additive model (Delta AP = -0.006, 95% block-bootstrap interval [-0.026, 0.011]). No learned model beat a persistence rule by more than 0.02 AP with 95% confidence, and in 2021-2022 the persistence rule ranked best (AP 0.535). Short-window recalibration worsened Brier scores for all 7 models, whereas routing low-confidence cases to analysts lowered expected cost relative to random review. In a pre-specified confirmation period (2023-2025, 15 countries) a frozen fallback rule retained the persistence rule in all three years, although XGBoost outperformed it in the nine core economies. Threshold evidence should pass such an audit before it informs deployed early-warning systems.</w:t>
      </w:r>
    </w:p>
    <w:p>
      <w:pPr>
        <w:pStyle w:val="BodyText"/>
      </w:pPr>
      <w:r>
        <w:rPr>
          <w:b/>
          <w:bCs/>
        </w:rPr>
        <w:t xml:space="preserve">Keywords:</w:t>
      </w:r>
      <w:r>
        <w:t xml:space="preserve"> </w:t>
      </w:r>
      <w:r>
        <w:t xml:space="preserve">Early warning system; Explainable boosting machine; Panel threshold regression; Replication; Pseudo-real-time evaluation; Selective prediction</w:t>
      </w:r>
    </w:p>
    <w:bookmarkEnd w:id="9"/>
    <w:bookmarkStart w:id="10" w:name="introduction"/>
    <w:p>
      <w:pPr>
        <w:pStyle w:val="Heading2"/>
      </w:pPr>
      <w:r>
        <w:t xml:space="preserve">1. Introduction</w:t>
      </w:r>
    </w:p>
    <w:p>
      <w:pPr>
        <w:pStyle w:val="FirstParagraph"/>
      </w:pPr>
      <w:r>
        <w:t xml:space="preserve">Early-warning systems for exchange-rate and balance-of-payments stress are decision-support tools. A model ranks countries or months by risk, and analysts decide where to spend limited monitoring capacity (Kaminsky et al., 1998; Holopainen &amp; Sarlin, 2017). Their value depends on out-of-sample ranking quality, on the calibration of the probabilities shown to users and on the cost of the actions they trigger, not on in-sample fit. Candidate early-warning variables are nevertheless often motivated by in-sample panel regressions. A recurring example is the claim that the macroeconomic effects of currency internationalization (CI) depend on a country’s institutional quality (IQ), estimated with fixed-effects panel threshold regressions (Hansen, 1999).</w:t>
      </w:r>
    </w:p>
    <w:p>
      <w:pPr>
        <w:pStyle w:val="BodyText"/>
      </w:pPr>
      <w:r>
        <w:t xml:space="preserve">This paper asks whether such threshold evidence survives the move from a regression table to an early-warning system. We organise the study around three questions.</w:t>
      </w:r>
    </w:p>
    <w:p>
      <w:pPr>
        <w:pStyle w:val="Compact"/>
        <w:numPr>
          <w:ilvl w:val="0"/>
          <w:numId w:val="1001"/>
        </w:numPr>
      </w:pPr>
      <w:r>
        <w:t xml:space="preserve">RQ1 (replication): Can the reported threshold estimates be reproduced from the original data, and how sensitive are they to estimation choices that are rarely reported, such as the trimming of the threshold grid and the timing of information?</w:t>
      </w:r>
    </w:p>
    <w:p>
      <w:pPr>
        <w:pStyle w:val="Compact"/>
        <w:numPr>
          <w:ilvl w:val="0"/>
          <w:numId w:val="1001"/>
        </w:numPr>
      </w:pPr>
      <w:r>
        <w:t xml:space="preserve">RQ2 (forecast value): When every input is restricted to what was published at the forecast date, do CI, IQ and their interaction improve the detection of future exchange-rate stress over persistence, country-identity and macro-only benchmarks by at least a pre-specified smallest effect of interest?</w:t>
      </w:r>
    </w:p>
    <w:p>
      <w:pPr>
        <w:pStyle w:val="Compact"/>
        <w:numPr>
          <w:ilvl w:val="0"/>
          <w:numId w:val="1001"/>
        </w:numPr>
      </w:pPr>
      <w:r>
        <w:t xml:space="preserve">RQ3 (decision value): Which decision rules, covering model choice, calibration, analyst routing and fallback, minimise expected cost, and do they hold in a confirmation period that was scored only after the protocol had been frozen?</w:t>
      </w:r>
    </w:p>
    <w:p>
      <w:pPr>
        <w:pStyle w:val="FirstParagraph"/>
      </w:pPr>
      <w:r>
        <w:t xml:space="preserve">We answer these questions with the data behind an earlier, unpublished working paper co-authored by one of us on CI, IQ and six macroeconomic risks in emerging economies: a SWIFT-share panel of six countries and an FX-turnover-share panel of nine countries. The first stage is a forensic replication of the reported threshold tests and regime coefficients. The second stage embeds the same information in a publication-lag-aware pseudo-real-time backtest for three-month real-effective-exchange-rate (REER) stress. Because the period 2021-2022 had been examined while the study was designed, we treat it as a retrospective out-of-time evaluation and add a confirmation period, 2023-2025, that was scored once under a protocol whose SHA-256 hash was recorded beforehand.</w:t>
      </w:r>
    </w:p>
    <w:p>
      <w:pPr>
        <w:pStyle w:val="BodyText"/>
      </w:pPr>
      <w:r>
        <w:t xml:space="preserve">The answers are largely negative, and we report them as such. The reported F statistics are reproduced exactly once an unusual degrees-of-freedom convention is recognised, but several thresholds sit at the edge of the data and lose significance under conventional trimming. CI and IQ do not add detectable forecast value, an institution-conditioned interaction is indistinguishable from an additive model, and a persistence rule is as good as or better than the learned models out of time. The contributions are:</w:t>
      </w:r>
    </w:p>
    <w:p>
      <w:pPr>
        <w:pStyle w:val="Compact"/>
        <w:numPr>
          <w:ilvl w:val="0"/>
          <w:numId w:val="1002"/>
        </w:numPr>
      </w:pPr>
      <w:r>
        <w:t xml:space="preserve">A replication-to-deployment framework that connects a scored replication audit of reported panel threshold estimates to a leakage-checked forecasting and decision layer, with every number regenerated from row-level predictions and cross-checked by an automated audit.</w:t>
      </w:r>
    </w:p>
    <w:p>
      <w:pPr>
        <w:pStyle w:val="Compact"/>
        <w:numPr>
          <w:ilvl w:val="0"/>
          <w:numId w:val="1002"/>
        </w:numPr>
      </w:pPr>
      <w:r>
        <w:t xml:space="preserve">Evidence on the three questions above, including equivalence tests against a smallest effect of interest, event-level and onset evaluation, country-identity baselines and a within/between decomposition of the CI signal.</w:t>
      </w:r>
    </w:p>
    <w:p>
      <w:pPr>
        <w:pStyle w:val="Compact"/>
        <w:numPr>
          <w:ilvl w:val="0"/>
          <w:numId w:val="1002"/>
        </w:numPr>
      </w:pPr>
      <w:r>
        <w:t xml:space="preserve">A decision-rule table for teams that build early-warning systems from published economic evidence, and a pre-specified test of a fallback policy on 2023-2025 data.</w:t>
      </w:r>
    </w:p>
    <w:p>
      <w:pPr>
        <w:pStyle w:val="FirstParagraph"/>
      </w:pPr>
      <w:r>
        <w:t xml:space="preserve">Section 2 reviews related work. Section 3 describes the data and the replication design, Section 4 the forecasting and decision framework and Section 5 the results. Section 6 discusses the decision rules and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They are estimated in sample with contemporaneous regressors and annual governance scores spread over the months of the same year, so they describe associations rather than information available in real time (Croushore &amp; Stark, 2001).</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Claims of</w:t>
      </w:r>
      <w:r>
        <w:t xml:space="preserve"> </w:t>
      </w:r>
      <w:r>
        <w:t xml:space="preserve">‘no improvement’</w:t>
      </w:r>
      <w:r>
        <w:t xml:space="preserve"> </w:t>
      </w:r>
      <w:r>
        <w:t xml:space="preserve">require equivalence tests against a smallest effect of interest rather than non-significant differences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replication uses the two regression datasets of that earlier working paper, which has not been published. The CI series and macro controls were exported from the Wind Economic Database and compiled into the regression datasets on 13 June 2023; the original Wind series codes were not retained, so Supplementary Table S15 documents the variables by their dataset column names; SHA-256 checksums of the files are recorded in the replication package. Panel A measures CI by the currency’s share of SWIFT payments for China, Hungary, Mexico, Poland, the Russian Federation and South Africa (2012-08 to 2021-12, N = 678). Panel B measures CI by the domestic currency’s share of FX-turnover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(released t-1)</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Confirmation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Pre-specified confirmation</w:t>
            </w:r>
          </w:p>
        </w:tc>
      </w:tr>
    </w:tbl>
    <w:p>
      <w:pPr>
        <w:pStyle w:val="BodyText"/>
      </w:pPr>
      <w:r>
        <w:rPr>
          <w:i/>
          <w:iCs/>
        </w:rPr>
        <w:t xml:space="preserve">Note:</w:t>
      </w:r>
      <w:r>
        <w:t xml:space="preserve"> </w:t>
      </w:r>
      <w:r>
        <w:t xml:space="preserve">The Panel B ER_Vol regression uses 1056 observations from 8 countries.</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Bootstrap p-values come from</w:t>
      </w:r>
      <w:r>
        <w:t xml:space="preserve"> </w:t>
      </w:r>
      <m:oMath>
        <m:r>
          <m:t>B</m:t>
        </m:r>
        <m:r>
          <m:rPr>
            <m:sty m:val="p"/>
          </m:rPr>
          <m:t>=</m:t>
        </m:r>
        <m:r>
          <m:t>1999</m:t>
        </m:r>
      </m:oMath>
      <w:r>
        <w:t xml:space="preserve"> </w:t>
      </w:r>
      <w:r>
        <w:t xml:space="preserve">country-block residual bootstraps under the linear null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replication package. Three choices are not stated in the original paper: the dataset columns behind CE_Vol and ER_Vol, the timing of the other-risk controls and the trimming fraction. We resolve them with a fully reported specification search that scores every candidate against the reported F statistics, thresholds and regime t statistics (Supplementary Table S2) and apply the selected option to all twelve regressions: full-coverage series, contemporaneous other risks and 1% trimming, the default of a widely used Stata implementation (Wang, 2015).</w:t>
      </w:r>
    </w:p>
    <w:bookmarkEnd w:id="16"/>
    <w:bookmarkStart w:id="20" w:name="Xb84871d5759497cb7317865605f2257f2baba4e"/>
    <w:p>
      <w:pPr>
        <w:pStyle w:val="Heading3"/>
      </w:pPr>
      <w:r>
        <w:t xml:space="preserve">3.3. Publication-lag-aware pseudo-real-time panel</w:t>
      </w:r>
    </w:p>
    <w:p>
      <w:pPr>
        <w:pStyle w:val="FirstParagraph"/>
      </w:pPr>
      <w:r>
        <w:t xml:space="preserve">For forecasting we build a country-by-month panel for the nine Panel B economies (Core-9) and six further emerging markets (Chile, Colombia, Indonesia, Malaysia, Thailand, Turkey) used for external transfer and confirmation. REER indices, the US nominal effective exchange rate, CPI, policy rates and credit come from the BIS, reserves from the IMF and governance and macro controls from the World Bank. Each input enters as it would have been published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Two limits apply. First, the WGI are revised retroactively and we use the current vintage, so the IQ series is pseudo-real-time in timing but not in values. Second, the construction and release calendar of the Wind FX-share series are not documented, so we assess CI release lags of 3, 6 and 12 months and a CI frozen at the training cut-off (Section 5.7). When the CI coverage ends the last release is held forward with its age. Fig. 1 summarises the information set and the folds.</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The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but no model was evaluated on origins after 2022-12 before the confirmation protocol was frozen. Fig. 2 shows the stress windows and IQ trajectories.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7</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5</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5</w:t>
            </w:r>
          </w:p>
        </w:tc>
      </w:tr>
    </w:tbl>
    <w:p>
      <w:pPr>
        <w:pStyle w:val="BodyText"/>
      </w:pPr>
      <w:r>
        <w:rPr>
          <w:i/>
          <w:iCs/>
        </w:rPr>
        <w:t xml:space="preserve">Note:</w:t>
      </w:r>
      <w:r>
        <w:t xml:space="preserve"> </w:t>
      </w:r>
      <w:r>
        <w:t xml:space="preserve">Thresholds are the 80th percentile of the training targets of each fold. Training origins are truncated so that every target is published before the test year. Positives by country are listed in the replication package.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4"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 vintage-aware data module applies each publication lag, holds the last release forward and records data age. (ii) A replication auditor re-estimates the reported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and blocks the manuscript build on any mismatch.</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test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the test year was published before it; the condition is asserted in code for</w:t>
      </w:r>
      <w:r>
        <w:t xml:space="preserve"> </w:t>
      </w:r>
      <m:oMath>
        <m:r>
          <m:t>h</m:t>
        </m:r>
        <m:r>
          <m:rPr>
            <m:sty m:val="p"/>
          </m:rPr>
          <m:t>=</m:t>
        </m:r>
        <m:r>
          <m:t>3</m:t>
        </m:r>
      </m:oMath>
      <w:r>
        <w:t xml:space="preserve"> </w:t>
      </w:r>
      <w:r>
        <w:t xml:space="preserve">and</w:t>
      </w:r>
      <w:r>
        <w:t xml:space="preserve"> </w:t>
      </w:r>
      <m:oMath>
        <m:r>
          <m:t>h</m:t>
        </m:r>
        <m:r>
          <m:rPr>
            <m:sty m:val="p"/>
          </m:rPr>
          <m:t>=</m:t>
        </m:r>
        <m:r>
          <m:t>6</m:t>
        </m:r>
      </m:oMath>
      <w:r>
        <w:t xml:space="preserve">. Imputation, scaling, thresholds and hyperparameters are estimated on training data only, and hyperparameters are chosen by AP on three inner expanding folds (grids in Supplementary Table S13).</w:t>
      </w:r>
    </w:p>
    <w:bookmarkEnd w:id="27"/>
    <w:bookmarkStart w:id="28" w:name="models"/>
    <w:p>
      <w:pPr>
        <w:pStyle w:val="Heading3"/>
      </w:pPr>
      <w:r>
        <w:t xml:space="preserve">4.3. Models</w:t>
      </w:r>
    </w:p>
    <w:p>
      <w:pPr>
        <w:pStyle w:val="FirstParagraph"/>
      </w:pPr>
      <w:r>
        <w:t xml:space="preserve">B0 is a persistence rule, a one-variable logistic map from the lagged three-month REER volatility. B1 is ridge regression for the continuous target and L2-regularised logistic regression for the binary target. B2 is a threshold forecaster that estimates an IQ threshold in the training window and fits regime-specific CI slopes. B3 and B4 are a random forest and XGBoost. M0 is an additive EBM, and M1 adds a single CI × IQ pairwise term, the forecasting analogue of the threshold hypothesis. Two country-identity baselines test whether learned models merely recognise countries: C0 is a logistic regression on country indicators and C1 adds the lagged REER volatility. The interaction ablation adds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all earlier out-of-sample predictions whose targets had matured (</w:t>
      </w:r>
      <w:r>
        <w:t xml:space="preserve">‘expanding’</w:t>
      </w:r>
      <w:r>
        <w:t xml:space="preserve">). For each model the scheme with the lowest pooled Brier score on the development folds is locked before the retrospective folds are examined; it was raw for 6 of the 7 models. All decision analyses use the locked probabilities.</w:t>
      </w:r>
    </w:p>
    <w:bookmarkEnd w:id="29"/>
    <w:bookmarkStart w:id="30" w:name="metrics-and-inference"/>
    <w:p>
      <w:pPr>
        <w:pStyle w:val="Heading3"/>
      </w:pPr>
      <w:r>
        <w:t xml:space="preserve">4.5.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24-month windows, because a 24-month window contains only 13 distinct 12-month blocks; results for other lengths are in the replication package. We set the smallest effect of interest to</w:t>
      </w:r>
      <w:r>
        <w:t xml:space="preserve"> </w:t>
      </w:r>
      <m:oMath>
        <m:r>
          <m:rPr>
            <m:sty m:val="p"/>
          </m:rPr>
          <m:t>Δ</m:t>
        </m:r>
        <m:r>
          <m:rPr>
            <m:sty m:val="p"/>
          </m:rPr>
          <m:t>A</m:t>
        </m:r>
        <m:r>
          <m:rPr>
            <m:sty m:val="p"/>
          </m:rPr>
          <m:t>P</m:t>
        </m:r>
        <m:r>
          <m:rPr>
            <m:sty m:val="p"/>
          </m:rPr>
          <m:t>=</m:t>
        </m:r>
        <m:r>
          <m:t>0.02</m:t>
        </m:r>
      </m:oMath>
      <w:r>
        <w:t xml:space="preserve">, about a tenth of the typical gap between a skilled model and the base rate, and call two models equivalent when the 90% interval lies within</w:t>
      </w:r>
      <w:r>
        <w:t xml:space="preserve"> </w:t>
      </w:r>
      <m:oMath>
        <m:r>
          <m:rPr>
            <m:sty m:val="p"/>
          </m:rPr>
          <m:t>±</m:t>
        </m:r>
        <m:r>
          <m:t>0.02</m:t>
        </m:r>
      </m:oMath>
      <w:r>
        <w:t xml:space="preserve">, the two one-sided tests procedure (Schuirmann, 1987; Lakens, 2017).</w:t>
      </w:r>
    </w:p>
    <w:bookmarkEnd w:id="30"/>
    <w:bookmarkStart w:id="31" w:name="event-level-evaluation"/>
    <w:p>
      <w:pPr>
        <w:pStyle w:val="Heading3"/>
      </w:pPr>
      <w:r>
        <w:t xml:space="preserve">4.6. Event-level evaluation</w:t>
      </w:r>
    </w:p>
    <w:p>
      <w:pPr>
        <w:pStyle w:val="FirstParagraph"/>
      </w:pPr>
      <w:r>
        <w:t xml:space="preserve">Consecutive high-risk origins of a country form an episode. An episode counts as detected when an alert is issued between three months before its first origin and its last origin; lead time is the distance from the first such alert to the first origin, so it is capped at three. False alarms are alerts at normal origins outside the three months before an episode, per country-year. Onset evaluation removes origins whose lagged volatility already exceeds the fold threshold, so it measures the prediction of new stress. The direction analysis splits high-risk windows by the sign of the three-month REER change (real depreciation versus appreciation).</w:t>
      </w:r>
    </w:p>
    <w:bookmarkEnd w:id="31"/>
    <w:bookmarkStart w:id="32" w:name="decision-layer"/>
    <w:p>
      <w:pPr>
        <w:pStyle w:val="Heading3"/>
      </w:pPr>
      <w:r>
        <w:t xml:space="preserve">4.7. Decision layer</w:t>
      </w:r>
    </w:p>
    <w:p>
      <w:pPr>
        <w:pStyle w:val="FirstParagraph"/>
      </w:pPr>
      <w:r>
        <w:t xml:space="preserve">The review experiment is a scenario simulation, not an observed workflow. Each month analysts review</w:t>
      </w:r>
      <w:r>
        <w:t xml:space="preserve"> </w:t>
      </w:r>
      <m:oMath>
        <m:r>
          <m:t>k</m:t>
        </m:r>
      </m:oMath>
      <w:r>
        <w:t xml:space="preserve"> </w:t>
      </w:r>
      <w:r>
        <w:t xml:space="preserve">country cases; a reviewed case costs a fee</w:t>
      </w:r>
      <w:r>
        <w:t xml:space="preserve"> </w:t>
      </w:r>
      <m:oMath>
        <m:r>
          <m:t>c</m:t>
        </m:r>
      </m:oMath>
      <w:r>
        <w:t xml:space="preserve"> </w:t>
      </w:r>
      <w:r>
        <w:t xml:space="preserve">and is resolved correctly with probability one (an upper bound) or 0.8, and the remaining cases are decided automatically at</w:t>
      </w:r>
      <w:r>
        <w:t xml:space="preserve"> </w:t>
      </w:r>
      <m:oMath>
        <m:r>
          <m:t>τ</m:t>
        </m:r>
        <m:r>
          <m:rPr>
            <m:sty m:val="p"/>
          </m:rPr>
          <m:t>=</m:t>
        </m:r>
        <m:r>
          <m:t>1</m:t>
        </m:r>
        <m:r>
          <m:rPr>
            <m:sty m:val="p"/>
          </m:rPr>
          <m:t>/</m:t>
        </m:r>
        <m:r>
          <m:t>6</m:t>
        </m:r>
      </m:oMath>
      <w:r>
        <w:t xml:space="preserve">.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highest probability first, highest lagged volatility first and random. Cost differences carry paired block-bootstrap intervals.</w:t>
      </w:r>
    </w:p>
    <w:bookmarkEnd w:id="32"/>
    <w:bookmarkStart w:id="33" w:name="confirmation-protocol"/>
    <w:p>
      <w:pPr>
        <w:pStyle w:val="Heading3"/>
      </w:pPr>
      <w:r>
        <w:t xml:space="preserve">4.8. Confirmation protocol</w:t>
      </w:r>
    </w:p>
    <w:p>
      <w:pPr>
        <w:pStyle w:val="FirstParagraph"/>
      </w:pPr>
      <w:r>
        <w:t xml:space="preserve">Before any outcome after 2022 was evaluated we froze a protocol (SHA-256 910490582b8d…) that fixes the sample (Core-9 and the six external economies), the features (macro and IQ; the CI export ends before 2023), the folds (test years 2023-2025, with 2021-2022 as warm-up folds), the models (B0, B1, macro EBM and XGBoost), raw probabilities, the costs and a fallback policy. The policy deploys the learned model, chosen on the development folds as the macro EBM, in year</w:t>
      </w:r>
      <w:r>
        <w:t xml:space="preserve"> </w:t>
      </w:r>
      <m:oMath>
        <m:r>
          <m:t>T</m:t>
        </m:r>
      </m:oMath>
      <w:r>
        <w:t xml:space="preserve"> </w:t>
      </w:r>
      <w:r>
        <w:t xml:space="preserve">only if, on the latest twelve matured origins,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Applied once to the retrospective folds, the rule chose 2021: B0; 2022: B0. A post-freeze change to the scoring script, needed to read the frozen file, is logged in the package; the protocol itself was not changed.</w:t>
      </w:r>
    </w:p>
    <w:bookmarkEnd w:id="33"/>
    <w:bookmarkEnd w:id="34"/>
    <w:bookmarkStart w:id="58" w:name="results"/>
    <w:p>
      <w:pPr>
        <w:pStyle w:val="Heading2"/>
      </w:pPr>
      <w:r>
        <w:t xml:space="preserve">5. Results</w:t>
      </w:r>
    </w:p>
    <w:bookmarkStart w:id="35" w:name="replication-of-the-threshold-evidence"/>
    <w:p>
      <w:pPr>
        <w:pStyle w:val="Heading3"/>
      </w:pPr>
      <w:r>
        <w:t xml:space="preserve">5.1. Replication of the threshold evidence</w:t>
      </w:r>
    </w:p>
    <w:p>
      <w:pPr>
        <w:pStyle w:val="FirstParagraph"/>
      </w:pPr>
      <w:r>
        <w:t xml:space="preserve">Table 3 compares the replicated threshold tests with the reported values. With Hansen’s residual variance the replicated F statistics exceed the reported ones by a constant factor within each panel (reported/replicated = 0.841 in Panel A and 0.896 in Panel B). Dividing instead by</w:t>
      </w:r>
      <w:r>
        <w:t xml:space="preserve"> </w:t>
      </w:r>
      <m:oMath>
        <m:r>
          <m:t>T</m:t>
        </m:r>
        <m:r>
          <m:rPr>
            <m:sty m:val="p"/>
          </m:rPr>
          <m:t>(</m:t>
        </m:r>
        <m:r>
          <m:t>N</m:t>
        </m:r>
        <m:r>
          <m:rPr>
            <m:sty m:val="p"/>
          </m:rPr>
          <m:t>−</m:t>
        </m:r>
        <m:r>
          <m:t>1</m:t>
        </m:r>
        <m:r>
          <m:rPr>
            <m:sty m:val="p"/>
          </m:rPr>
          <m:t>)</m:t>
        </m:r>
      </m:oMath>
      <w:r>
        <w:t xml:space="preserve"> </w:t>
      </w:r>
      <w:r>
        <w:t xml:space="preserve">reproduces 12 of the 12 reported F statistics to two decimals, which identifies the convention used. 10 of 12 thresholds are reproduced to four decimals. Of the 24 reported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reported threshold tests (threshold variable: IQ).</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F rep.</w:t>
            </w:r>
          </w:p>
        </w:tc>
        <w:tc>
          <w:tcPr/>
          <w:p>
            <w:pPr>
              <w:pStyle w:val="Compact"/>
            </w:pPr>
            <w:r>
              <w:t xml:space="preserve">F T(N-1)</w:t>
            </w:r>
          </w:p>
        </w:tc>
        <w:tc>
          <w:tcPr/>
          <w:p>
            <w:pPr>
              <w:pStyle w:val="Compact"/>
            </w:pPr>
            <w:r>
              <w:t xml:space="preserve">F Hansen</w:t>
            </w:r>
          </w:p>
        </w:tc>
        <w:tc>
          <w:tcPr/>
          <w:p>
            <w:pPr>
              <w:pStyle w:val="Compact"/>
            </w:pPr>
            <w:r>
              <w:t xml:space="preserve">p</w:t>
            </w:r>
          </w:p>
        </w:tc>
        <w:tc>
          <w:tcPr/>
          <w:p>
            <w:pPr>
              <w:pStyle w:val="Compact"/>
            </w:pPr>
            <w:r>
              <w:t xml:space="preserve">Thr. rep.</w:t>
            </w:r>
          </w:p>
        </w:tc>
        <w:tc>
          <w:tcPr/>
          <w:p>
            <w:pPr>
              <w:pStyle w:val="Compact"/>
            </w:pPr>
            <w:r>
              <w:t xml:space="preserve">Thr. repl.</w:t>
            </w:r>
          </w:p>
        </w:tc>
        <w:tc>
          <w:tcPr/>
          <w:p>
            <w:pPr>
              <w:pStyle w:val="Compact"/>
            </w:pPr>
            <w:r>
              <w:t xml:space="preserve">Low regime %</w:t>
            </w:r>
          </w:p>
        </w:tc>
        <w:tc>
          <w:tcPr/>
          <w:p>
            <w:pPr>
              <w:pStyle w:val="Compact"/>
            </w:pPr>
            <w:r>
              <w:t xml:space="preserve">p 15% trim</w:t>
            </w:r>
          </w:p>
        </w:tc>
        <w:tc>
          <w:tcPr/>
          <w:p>
            <w:pPr>
              <w:pStyle w:val="Compact"/>
            </w:pPr>
            <w:r>
              <w:t xml:space="preserve">p real-time</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bootstraps, (1 + k)/(B + 1). Main specification: 1% trimming, contemporaneous other risks.</w:t>
      </w:r>
    </w:p>
    <w:bookmarkEnd w:id="35"/>
    <w:bookmarkStart w:id="39" w:name="how-robust-are-the-thresholds"/>
    <w:p>
      <w:pPr>
        <w:pStyle w:val="Heading3"/>
      </w:pPr>
      <w:r>
        <w:t xml:space="preserve">5.2. How robust are the thresholds?</w:t>
      </w:r>
    </w:p>
    <w:p>
      <w:pPr>
        <w:pStyle w:val="FirstParagraph"/>
      </w:pPr>
      <w:r>
        <w:t xml:space="preserve">The thresholds are often extreme.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answer to RQ1 is that the threshold evidence is reproducible as computed but not robust enough to be treated as a stable mechanism.</w:t>
      </w:r>
    </w:p>
    <w:p>
      <w:pPr>
        <w:pStyle w:val="CaptionedFigure"/>
      </w:pPr>
      <w:r>
        <w:drawing>
          <wp:inline>
            <wp:extent cx="5334000" cy="1830538"/>
            <wp:effectExtent b="0" l="0" r="0" t="0"/>
            <wp:docPr descr="Fig. 3. Replicated versus reported threshold F statistics (a) and bootstrap p-values under 1% trimming, 15% trimming and the pseudo-real-time specification (b)."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reported threshold F statistics (a) and bootstrap p-values under 1% trimming, 15% trimming and the pseudo-real-time specification (b).</w:t>
      </w:r>
    </w:p>
    <w:bookmarkEnd w:id="39"/>
    <w:bookmarkStart w:id="43" w:name="forecasting-benchmark"/>
    <w:p>
      <w:pPr>
        <w:pStyle w:val="Heading3"/>
      </w:pPr>
      <w:r>
        <w:t xml:space="preserve">5.3. Forecasting benchmark</w:t>
      </w:r>
    </w:p>
    <w:p>
      <w:pPr>
        <w:pStyle w:val="FirstParagraph"/>
      </w:pPr>
      <w:r>
        <w:t xml:space="preserve">Table 4 reports the benchmark. Over all six folds (pooled AP, base rate 0.187) the random forest leads with 0.506, followed by C1 (0.471), XGBoost (0.460) and the persistence rule B0 (0.440); the EBMs reach 0.386 (M0) and 0.381 (M1). The ranking is not stable. In the development folds the random forest is best (0.535) and B0 weak (0.405); in the retrospective test B0 reaches 0.535 and C1 0.574, above every learned model (at most 0.489), and the EBMs fall to about 0.307. Paired bootstrap intervals show that no learned model beats B0 by more than 0.02 AP with 95% confidence over the six folds; the random forest’s gain is 0.066 [0.001, 0.187], an interval that excludes zero but also includes gains below 0.02. Country identity alone (C0) reaches 0.378, close to the EBMs, which indicates that much of the learned models’ skill is cross-country level information (Fig. 4).</w:t>
      </w:r>
    </w:p>
    <w:p>
      <w:pPr>
        <w:pStyle w:val="BodyText"/>
      </w:pPr>
      <w:r>
        <w:rPr>
          <w:b/>
          <w:bCs/>
        </w:rPr>
        <w:t xml:space="preserve">Table 4. Forecasting benchmark for three-month REER stress (Core-9).</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(fold mean)</w:t>
            </w:r>
          </w:p>
        </w:tc>
        <w:tc>
          <w:tcPr/>
          <w:p>
            <w:pPr>
              <w:pStyle w:val="Compact"/>
            </w:pPr>
            <w:r>
              <w:t xml:space="preserve">AP dev (pooled)</w:t>
            </w:r>
          </w:p>
        </w:tc>
        <w:tc>
          <w:tcPr/>
          <w:p>
            <w:pPr>
              <w:pStyle w:val="Compact"/>
            </w:pPr>
            <w:r>
              <w:t xml:space="preserve">AP retro (pooled)</w:t>
            </w:r>
          </w:p>
        </w:tc>
        <w:tc>
          <w:tcPr/>
          <w:p>
            <w:pPr>
              <w:pStyle w:val="Compact"/>
            </w:pPr>
            <w:r>
              <w:t xml:space="preserve">AP retro (fold mean)</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0.480</w:t>
            </w:r>
          </w:p>
        </w:tc>
        <w:tc>
          <w:tcPr/>
          <w:p>
            <w:pPr>
              <w:pStyle w:val="Compact"/>
            </w:pPr>
            <w:r>
              <w:t xml:space="preserve">0.474</w:t>
            </w:r>
          </w:p>
        </w:tc>
        <w:tc>
          <w:tcPr/>
          <w:p>
            <w:pPr>
              <w:pStyle w:val="Compact"/>
            </w:pPr>
            <w:r>
              <w:t xml:space="preserve">0.126</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0.372</w:t>
            </w:r>
          </w:p>
        </w:tc>
        <w:tc>
          <w:tcPr/>
          <w:p>
            <w:pPr>
              <w:pStyle w:val="Compact"/>
            </w:pPr>
            <w:r>
              <w:t xml:space="preserve">0.398</w:t>
            </w:r>
          </w:p>
        </w:tc>
        <w:tc>
          <w:tcPr/>
          <w:p>
            <w:pPr>
              <w:pStyle w:val="Compact"/>
            </w:pPr>
            <w:r>
              <w:t xml:space="preserve">0.444</w:t>
            </w:r>
          </w:p>
        </w:tc>
        <w:tc>
          <w:tcPr/>
          <w:p>
            <w:pPr>
              <w:pStyle w:val="Compact"/>
            </w:pPr>
            <w:r>
              <w:t xml:space="preserve">0.349</w:t>
            </w:r>
          </w:p>
        </w:tc>
        <w:tc>
          <w:tcPr/>
          <w:p>
            <w:pPr>
              <w:pStyle w:val="Compact"/>
            </w:pPr>
            <w:r>
              <w:t xml:space="preserve">0.349</w:t>
            </w:r>
          </w:p>
        </w:tc>
        <w:tc>
          <w:tcPr/>
          <w:p>
            <w:pPr>
              <w:pStyle w:val="Compact"/>
            </w:pPr>
            <w:r>
              <w:t xml:space="preserve">0.194</w:t>
            </w:r>
          </w:p>
        </w:tc>
        <w:tc>
          <w:tcPr/>
          <w:p>
            <w:pPr>
              <w:pStyle w:val="Compact"/>
            </w:pPr>
            <w:r>
              <w:t xml:space="preserve">54.2</w:t>
            </w:r>
          </w:p>
        </w:tc>
        <w:tc>
          <w:tcPr/>
          <w:p>
            <w:pPr>
              <w:pStyle w:val="Compact"/>
            </w:pPr>
            <w:r>
              <w:t xml:space="preserve">raw</w:t>
            </w:r>
          </w:p>
        </w:tc>
      </w:tr>
      <w:tr>
        <w:tc>
          <w:tcPr/>
          <w:p>
            <w:pPr>
              <w:pStyle w:val="Compact"/>
            </w:pPr>
            <w:r>
              <w:t xml:space="preserve">B2 Threshold model</w:t>
            </w:r>
          </w:p>
        </w:tc>
        <w:tc>
          <w:tcPr/>
          <w:p>
            <w:pPr>
              <w:pStyle w:val="Compact"/>
            </w:pPr>
            <w:r>
              <w:t xml:space="preserve">0.396</w:t>
            </w:r>
          </w:p>
        </w:tc>
        <w:tc>
          <w:tcPr/>
          <w:p>
            <w:pPr>
              <w:pStyle w:val="Compact"/>
            </w:pPr>
            <w:r>
              <w:t xml:space="preserve">0.466</w:t>
            </w:r>
          </w:p>
        </w:tc>
        <w:tc>
          <w:tcPr/>
          <w:p>
            <w:pPr>
              <w:pStyle w:val="Compact"/>
            </w:pPr>
            <w:r>
              <w:t xml:space="preserve">0.427</w:t>
            </w:r>
          </w:p>
        </w:tc>
        <w:tc>
          <w:tcPr/>
          <w:p>
            <w:pPr>
              <w:pStyle w:val="Compact"/>
            </w:pPr>
            <w:r>
              <w:t xml:space="preserve">0.365</w:t>
            </w:r>
          </w:p>
        </w:tc>
        <w:tc>
          <w:tcPr/>
          <w:p>
            <w:pPr>
              <w:pStyle w:val="Compact"/>
            </w:pPr>
            <w:r>
              <w:t xml:space="preserve">0.396</w:t>
            </w:r>
          </w:p>
        </w:tc>
        <w:tc>
          <w:tcPr/>
          <w:p>
            <w:pPr>
              <w:pStyle w:val="Compact"/>
            </w:pPr>
            <w:r>
              <w:t xml:space="preserve">0.141</w:t>
            </w:r>
          </w:p>
        </w:tc>
        <w:tc>
          <w:tcPr/>
          <w:p>
            <w:pPr>
              <w:pStyle w:val="Compact"/>
            </w:pPr>
            <w:r>
              <w:t xml:space="preserve">53.7</w:t>
            </w:r>
          </w:p>
        </w:tc>
        <w:tc>
          <w:tcPr/>
          <w:p>
            <w:pPr>
              <w:pStyle w:val="Compact"/>
            </w:pPr>
            <w:r>
              <w:t xml:space="preserve">platt expanding</w:t>
            </w:r>
          </w:p>
        </w:tc>
      </w:tr>
      <w:tr>
        <w:tc>
          <w:tcPr/>
          <w:p>
            <w:pPr>
              <w:pStyle w:val="Compact"/>
            </w:pPr>
            <w:r>
              <w:t xml:space="preserve">B3 Random forest</w:t>
            </w:r>
          </w:p>
        </w:tc>
        <w:tc>
          <w:tcPr/>
          <w:p>
            <w:pPr>
              <w:pStyle w:val="Compact"/>
            </w:pPr>
            <w:r>
              <w:t xml:space="preserve">0.506</w:t>
            </w:r>
          </w:p>
        </w:tc>
        <w:tc>
          <w:tcPr/>
          <w:p>
            <w:pPr>
              <w:pStyle w:val="Compact"/>
            </w:pPr>
            <w:r>
              <w:t xml:space="preserve">0.420</w:t>
            </w:r>
          </w:p>
        </w:tc>
        <w:tc>
          <w:tcPr/>
          <w:p>
            <w:pPr>
              <w:pStyle w:val="Compact"/>
            </w:pPr>
            <w:r>
              <w:t xml:space="preserve">0.535</w:t>
            </w:r>
          </w:p>
        </w:tc>
        <w:tc>
          <w:tcPr/>
          <w:p>
            <w:pPr>
              <w:pStyle w:val="Compact"/>
            </w:pPr>
            <w:r>
              <w:t xml:space="preserve">0.489</w:t>
            </w:r>
          </w:p>
        </w:tc>
        <w:tc>
          <w:tcPr/>
          <w:p>
            <w:pPr>
              <w:pStyle w:val="Compact"/>
            </w:pPr>
            <w:r>
              <w:t xml:space="preserve">0.394</w:t>
            </w:r>
          </w:p>
        </w:tc>
        <w:tc>
          <w:tcPr/>
          <w:p>
            <w:pPr>
              <w:pStyle w:val="Compact"/>
            </w:pPr>
            <w:r>
              <w:t xml:space="preserve">0.117</w:t>
            </w:r>
          </w:p>
        </w:tc>
        <w:tc>
          <w:tcPr/>
          <w:p>
            <w:pPr>
              <w:pStyle w:val="Compact"/>
            </w:pPr>
            <w:r>
              <w:t xml:space="preserve">47.7</w:t>
            </w:r>
          </w:p>
        </w:tc>
        <w:tc>
          <w:tcPr/>
          <w:p>
            <w:pPr>
              <w:pStyle w:val="Compact"/>
            </w:pPr>
            <w:r>
              <w:t xml:space="preserve">raw</w:t>
            </w:r>
          </w:p>
        </w:tc>
      </w:tr>
      <w:tr>
        <w:tc>
          <w:tcPr/>
          <w:p>
            <w:pPr>
              <w:pStyle w:val="Compact"/>
            </w:pPr>
            <w:r>
              <w:t xml:space="preserve">B4 XGBoost</w:t>
            </w:r>
          </w:p>
        </w:tc>
        <w:tc>
          <w:tcPr/>
          <w:p>
            <w:pPr>
              <w:pStyle w:val="Compact"/>
            </w:pPr>
            <w:r>
              <w:t xml:space="preserve">0.460</w:t>
            </w:r>
          </w:p>
        </w:tc>
        <w:tc>
          <w:tcPr/>
          <w:p>
            <w:pPr>
              <w:pStyle w:val="Compact"/>
            </w:pPr>
            <w:r>
              <w:t xml:space="preserve">0.416</w:t>
            </w:r>
          </w:p>
        </w:tc>
        <w:tc>
          <w:tcPr/>
          <w:p>
            <w:pPr>
              <w:pStyle w:val="Compact"/>
            </w:pPr>
            <w:r>
              <w:t xml:space="preserve">0.517</w:t>
            </w:r>
          </w:p>
        </w:tc>
        <w:tc>
          <w:tcPr/>
          <w:p>
            <w:pPr>
              <w:pStyle w:val="Compact"/>
            </w:pPr>
            <w:r>
              <w:t xml:space="preserve">0.424</w:t>
            </w:r>
          </w:p>
        </w:tc>
        <w:tc>
          <w:tcPr/>
          <w:p>
            <w:pPr>
              <w:pStyle w:val="Compact"/>
            </w:pPr>
            <w:r>
              <w:t xml:space="preserve">0.375</w:t>
            </w:r>
          </w:p>
        </w:tc>
        <w:tc>
          <w:tcPr/>
          <w:p>
            <w:pPr>
              <w:pStyle w:val="Compact"/>
            </w:pPr>
            <w:r>
              <w:t xml:space="preserve">0.121</w:t>
            </w:r>
          </w:p>
        </w:tc>
        <w:tc>
          <w:tcPr/>
          <w:p>
            <w:pPr>
              <w:pStyle w:val="Compact"/>
            </w:pPr>
            <w:r>
              <w:t xml:space="preserve">52.8</w:t>
            </w:r>
          </w:p>
        </w:tc>
        <w:tc>
          <w:tcPr/>
          <w:p>
            <w:pPr>
              <w:pStyle w:val="Compact"/>
            </w:pPr>
            <w:r>
              <w:t xml:space="preserve">raw</w:t>
            </w:r>
          </w:p>
        </w:tc>
      </w:tr>
      <w:tr>
        <w:tc>
          <w:tcPr/>
          <w:p>
            <w:pPr>
              <w:pStyle w:val="Compact"/>
            </w:pPr>
            <w:r>
              <w:t xml:space="preserve">M0 EBM additive</w:t>
            </w:r>
          </w:p>
        </w:tc>
        <w:tc>
          <w:tcPr/>
          <w:p>
            <w:pPr>
              <w:pStyle w:val="Compact"/>
            </w:pPr>
            <w:r>
              <w:t xml:space="preserve">0.386</w:t>
            </w:r>
          </w:p>
        </w:tc>
        <w:tc>
          <w:tcPr/>
          <w:p>
            <w:pPr>
              <w:pStyle w:val="Compact"/>
            </w:pPr>
            <w:r>
              <w:t xml:space="preserve">0.406</w:t>
            </w:r>
          </w:p>
        </w:tc>
        <w:tc>
          <w:tcPr/>
          <w:p>
            <w:pPr>
              <w:pStyle w:val="Compact"/>
            </w:pPr>
            <w:r>
              <w:t xml:space="preserve">0.482</w:t>
            </w:r>
          </w:p>
        </w:tc>
        <w:tc>
          <w:tcPr/>
          <w:p>
            <w:pPr>
              <w:pStyle w:val="Compact"/>
            </w:pPr>
            <w:r>
              <w:t xml:space="preserve">0.306</w:t>
            </w:r>
          </w:p>
        </w:tc>
        <w:tc>
          <w:tcPr/>
          <w:p>
            <w:pPr>
              <w:pStyle w:val="Compact"/>
            </w:pPr>
            <w:r>
              <w:t xml:space="preserve">0.354</w:t>
            </w:r>
          </w:p>
        </w:tc>
        <w:tc>
          <w:tcPr/>
          <w:p>
            <w:pPr>
              <w:pStyle w:val="Compact"/>
            </w:pPr>
            <w:r>
              <w:t xml:space="preserve">0.148</w:t>
            </w:r>
          </w:p>
        </w:tc>
        <w:tc>
          <w:tcPr/>
          <w:p>
            <w:pPr>
              <w:pStyle w:val="Compact"/>
            </w:pPr>
            <w:r>
              <w:t xml:space="preserve">66.7</w:t>
            </w:r>
          </w:p>
        </w:tc>
        <w:tc>
          <w:tcPr/>
          <w:p>
            <w:pPr>
              <w:pStyle w:val="Compact"/>
            </w:pPr>
            <w:r>
              <w:t xml:space="preserve">raw</w:t>
            </w:r>
          </w:p>
        </w:tc>
      </w:tr>
      <w:tr>
        <w:tc>
          <w:tcPr/>
          <w:p>
            <w:pPr>
              <w:pStyle w:val="Compact"/>
            </w:pPr>
            <w:r>
              <w:t xml:space="preserve">M1 EBM + CI x IQ</w:t>
            </w:r>
          </w:p>
        </w:tc>
        <w:tc>
          <w:tcPr/>
          <w:p>
            <w:pPr>
              <w:pStyle w:val="Compact"/>
            </w:pPr>
            <w:r>
              <w:t xml:space="preserve">0.381</w:t>
            </w:r>
          </w:p>
        </w:tc>
        <w:tc>
          <w:tcPr/>
          <w:p>
            <w:pPr>
              <w:pStyle w:val="Compact"/>
            </w:pPr>
            <w:r>
              <w:t xml:space="preserve">0.400</w:t>
            </w:r>
          </w:p>
        </w:tc>
        <w:tc>
          <w:tcPr/>
          <w:p>
            <w:pPr>
              <w:pStyle w:val="Compact"/>
            </w:pPr>
            <w:r>
              <w:t xml:space="preserve">0.447</w:t>
            </w:r>
          </w:p>
        </w:tc>
        <w:tc>
          <w:tcPr/>
          <w:p>
            <w:pPr>
              <w:pStyle w:val="Compact"/>
            </w:pPr>
            <w:r>
              <w:t xml:space="preserve">0.307</w:t>
            </w:r>
          </w:p>
        </w:tc>
        <w:tc>
          <w:tcPr/>
          <w:p>
            <w:pPr>
              <w:pStyle w:val="Compact"/>
            </w:pPr>
            <w:r>
              <w:t xml:space="preserve">0.358</w:t>
            </w:r>
          </w:p>
        </w:tc>
        <w:tc>
          <w:tcPr/>
          <w:p>
            <w:pPr>
              <w:pStyle w:val="Compact"/>
            </w:pPr>
            <w:r>
              <w:t xml:space="preserve">0.148</w:t>
            </w:r>
          </w:p>
        </w:tc>
        <w:tc>
          <w:tcPr/>
          <w:p>
            <w:pPr>
              <w:pStyle w:val="Compact"/>
            </w:pPr>
            <w:r>
              <w:t xml:space="preserve">66.7</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locked on the development folds. C0 and C1 calibration not locked separately (raw shown).</w:t>
      </w:r>
    </w:p>
    <w:p>
      <w:pPr>
        <w:pStyle w:val="CaptionedFigure"/>
      </w:pPr>
      <w:r>
        <w:drawing>
          <wp:inline>
            <wp:extent cx="5334000" cy="184875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184875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3"/>
    <w:bookmarkStart w:id="47" w:name="do-ci-and-iq-add-information"/>
    <w:p>
      <w:pPr>
        <w:pStyle w:val="Heading3"/>
      </w:pPr>
      <w:r>
        <w:t xml:space="preserve">5.4. Do CI and IQ add information?</w:t>
      </w:r>
    </w:p>
    <w:p>
      <w:pPr>
        <w:pStyle w:val="FirstParagraph"/>
      </w:pPr>
      <w:r>
        <w:t xml:space="preserve">Table 5 isolates CI and IQ. Adding CI to the macro feature set lowers pooled AP in 6 of 6 model-window cells, and no addition of CI, IQ or both raises AP by 0.02 or more in any of 18 cells. Relative to M0, the CI × IQ interaction changes AP by -0.006 over all folds and +0.000 in the retrospective test, a placebo macro interaction by +0.004 and +0.009, and an unrestricted EBM by +0.025 and +0.033. The paired bootstrap gives M1 minus M0 = -0.006 [-0.026, 0.011] over six folds; in the retrospective test the 90% interval [-0.005, 0.009] lies within</w:t>
      </w:r>
      <w:r>
        <w:t xml:space="preserve"> </w:t>
      </w:r>
      <m:oMath>
        <m:r>
          <m:rPr>
            <m:sty m:val="p"/>
          </m:rPr>
          <m:t>±</m:t>
        </m:r>
        <m:r>
          <m:t>0.02</m:t>
        </m:r>
      </m:oMath>
      <w:r>
        <w:t xml:space="preserve">, so the two models are equivalent there. Over six folds the lower 90% bound (-0.022) just crosses</w:t>
      </w:r>
      <w:r>
        <w:t xml:space="preserve"> </w:t>
      </w:r>
      <m:oMath>
        <m:r>
          <m:rPr>
            <m:sty m:val="p"/>
          </m:rPr>
          <m:t>−</m:t>
        </m:r>
        <m:r>
          <m:t>0.02</m:t>
        </m:r>
      </m:oMath>
      <w:r>
        <w:t xml:space="preserve">, so equivalence is not established, but a gain is excluded.</w:t>
      </w:r>
    </w:p>
    <w:p>
      <w:pPr>
        <w:pStyle w:val="BodyText"/>
      </w:pPr>
      <w:r>
        <w:rPr>
          <w:b/>
          <w:bCs/>
        </w:rPr>
        <w:t xml:space="preserve">Table 5. Contribution of CI, IQ and interactions (pooled AP).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 / specification</w:t>
            </w:r>
          </w:p>
        </w:tc>
        <w:tc>
          <w:tcPr/>
          <w:p>
            <w:pPr>
              <w:pStyle w:val="Compact"/>
            </w:pPr>
            <w:r>
              <w:t xml:space="preserve">Macro AP (all)</w:t>
            </w:r>
          </w:p>
        </w:tc>
        <w:tc>
          <w:tcPr/>
          <w:p>
            <w:pPr>
              <w:pStyle w:val="Compact"/>
            </w:pPr>
            <w:r>
              <w:t xml:space="preserve">+CI</w:t>
            </w:r>
          </w:p>
        </w:tc>
        <w:tc>
          <w:tcPr/>
          <w:p>
            <w:pPr>
              <w:pStyle w:val="Compact"/>
            </w:pPr>
            <w:r>
              <w:t xml:space="preserve">+IQ</w:t>
            </w:r>
          </w:p>
        </w:tc>
        <w:tc>
          <w:tcPr/>
          <w:p>
            <w:pPr>
              <w:pStyle w:val="Compact"/>
            </w:pPr>
            <w:r>
              <w:t xml:space="preserve">+CI+IQ</w:t>
            </w:r>
          </w:p>
        </w:tc>
        <w:tc>
          <w:tcPr/>
          <w:p>
            <w:pPr>
              <w:pStyle w:val="Compact"/>
            </w:pPr>
            <w:r>
              <w:t xml:space="preserve">Macro AP (retro)</w:t>
            </w:r>
          </w:p>
        </w:tc>
        <w:tc>
          <w:tcPr/>
          <w:p>
            <w:pPr>
              <w:pStyle w:val="Compact"/>
            </w:pPr>
            <w:r>
              <w:t xml:space="preserve">+CI</w:t>
            </w:r>
          </w:p>
        </w:tc>
        <w:tc>
          <w:tcPr/>
          <w:p>
            <w:pPr>
              <w:pStyle w:val="Compact"/>
            </w:pPr>
            <w:r>
              <w:t xml:space="preserve">+IQ</w:t>
            </w:r>
          </w:p>
        </w:tc>
        <w:tc>
          <w:tcPr/>
          <w:p>
            <w:pPr>
              <w:pStyle w:val="Compact"/>
            </w:pPr>
            <w:r>
              <w:t xml:space="preserve">+CI+IQ</w:t>
            </w:r>
          </w:p>
        </w:tc>
      </w:tr>
      <w:tr>
        <w:tc>
          <w:tcPr/>
          <w:p>
            <w:pPr>
              <w:pStyle w:val="Compact"/>
            </w:pPr>
            <w:r>
              <w:t xml:space="preserve">B1 Ridge / logistic</w:t>
            </w:r>
          </w:p>
        </w:tc>
        <w:tc>
          <w:tcPr/>
          <w:p>
            <w:pPr>
              <w:pStyle w:val="Compact"/>
            </w:pPr>
            <w:r>
              <w:t xml:space="preserve">0.379</w:t>
            </w:r>
          </w:p>
        </w:tc>
        <w:tc>
          <w:tcPr/>
          <w:p>
            <w:pPr>
              <w:pStyle w:val="Compact"/>
            </w:pPr>
            <w:r>
              <w:t xml:space="preserve">-0.039</w:t>
            </w:r>
          </w:p>
        </w:tc>
        <w:tc>
          <w:tcPr/>
          <w:p>
            <w:pPr>
              <w:pStyle w:val="Compact"/>
            </w:pPr>
            <w:r>
              <w:t xml:space="preserve">+0.004</w:t>
            </w:r>
          </w:p>
        </w:tc>
        <w:tc>
          <w:tcPr/>
          <w:p>
            <w:pPr>
              <w:pStyle w:val="Compact"/>
            </w:pPr>
            <w:r>
              <w:t xml:space="preserve">-0.007</w:t>
            </w:r>
          </w:p>
        </w:tc>
        <w:tc>
          <w:tcPr/>
          <w:p>
            <w:pPr>
              <w:pStyle w:val="Compact"/>
            </w:pPr>
            <w:r>
              <w:t xml:space="preserve">0.364</w:t>
            </w:r>
          </w:p>
        </w:tc>
        <w:tc>
          <w:tcPr/>
          <w:p>
            <w:pPr>
              <w:pStyle w:val="Compact"/>
            </w:pPr>
            <w:r>
              <w:t xml:space="preserve">-0.021</w:t>
            </w:r>
          </w:p>
        </w:tc>
        <w:tc>
          <w:tcPr/>
          <w:p>
            <w:pPr>
              <w:pStyle w:val="Compact"/>
            </w:pPr>
            <w:r>
              <w:t xml:space="preserve">-0.046</w:t>
            </w:r>
          </w:p>
        </w:tc>
        <w:tc>
          <w:tcPr/>
          <w:p>
            <w:pPr>
              <w:pStyle w:val="Compact"/>
            </w:pPr>
            <w:r>
              <w:t xml:space="preserve">-0.015</w:t>
            </w:r>
          </w:p>
        </w:tc>
      </w:tr>
      <w:tr>
        <w:tc>
          <w:tcPr/>
          <w:p>
            <w:pPr>
              <w:pStyle w:val="Compact"/>
            </w:pPr>
            <w:r>
              <w:t xml:space="preserve">B4 XGBoost</w:t>
            </w:r>
          </w:p>
        </w:tc>
        <w:tc>
          <w:tcPr/>
          <w:p>
            <w:pPr>
              <w:pStyle w:val="Compact"/>
            </w:pPr>
            <w:r>
              <w:t xml:space="preserve">0.454</w:t>
            </w:r>
          </w:p>
        </w:tc>
        <w:tc>
          <w:tcPr/>
          <w:p>
            <w:pPr>
              <w:pStyle w:val="Compact"/>
            </w:pPr>
            <w:r>
              <w:t xml:space="preserve">-0.005</w:t>
            </w:r>
          </w:p>
        </w:tc>
        <w:tc>
          <w:tcPr/>
          <w:p>
            <w:pPr>
              <w:pStyle w:val="Compact"/>
            </w:pPr>
            <w:r>
              <w:t xml:space="preserve">-0.004</w:t>
            </w:r>
          </w:p>
        </w:tc>
        <w:tc>
          <w:tcPr/>
          <w:p>
            <w:pPr>
              <w:pStyle w:val="Compact"/>
            </w:pPr>
            <w:r>
              <w:t xml:space="preserve">+0.005</w:t>
            </w:r>
          </w:p>
        </w:tc>
        <w:tc>
          <w:tcPr/>
          <w:p>
            <w:pPr>
              <w:pStyle w:val="Compact"/>
            </w:pPr>
            <w:r>
              <w:t xml:space="preserve">0.433</w:t>
            </w:r>
          </w:p>
        </w:tc>
        <w:tc>
          <w:tcPr/>
          <w:p>
            <w:pPr>
              <w:pStyle w:val="Compact"/>
            </w:pPr>
            <w:r>
              <w:t xml:space="preserve">-0.010</w:t>
            </w:r>
          </w:p>
        </w:tc>
        <w:tc>
          <w:tcPr/>
          <w:p>
            <w:pPr>
              <w:pStyle w:val="Compact"/>
            </w:pPr>
            <w:r>
              <w:t xml:space="preserve">-0.003</w:t>
            </w:r>
          </w:p>
        </w:tc>
        <w:tc>
          <w:tcPr/>
          <w:p>
            <w:pPr>
              <w:pStyle w:val="Compact"/>
            </w:pPr>
            <w:r>
              <w:t xml:space="preserve">-0.008</w:t>
            </w:r>
          </w:p>
        </w:tc>
      </w:tr>
      <w:tr>
        <w:tc>
          <w:tcPr/>
          <w:p>
            <w:pPr>
              <w:pStyle w:val="Compact"/>
            </w:pPr>
            <w:r>
              <w:t xml:space="preserve">M0 EBM additive</w:t>
            </w:r>
          </w:p>
        </w:tc>
        <w:tc>
          <w:tcPr/>
          <w:p>
            <w:pPr>
              <w:pStyle w:val="Compact"/>
            </w:pPr>
            <w:r>
              <w:t xml:space="preserve">0.402</w:t>
            </w:r>
          </w:p>
        </w:tc>
        <w:tc>
          <w:tcPr/>
          <w:p>
            <w:pPr>
              <w:pStyle w:val="Compact"/>
            </w:pPr>
            <w:r>
              <w:t xml:space="preserve">-0.018</w:t>
            </w:r>
          </w:p>
        </w:tc>
        <w:tc>
          <w:tcPr/>
          <w:p>
            <w:pPr>
              <w:pStyle w:val="Compact"/>
            </w:pPr>
            <w:r>
              <w:t xml:space="preserve">+0.011</w:t>
            </w:r>
          </w:p>
        </w:tc>
        <w:tc>
          <w:tcPr/>
          <w:p>
            <w:pPr>
              <w:pStyle w:val="Compact"/>
            </w:pPr>
            <w:r>
              <w:t xml:space="preserve">-0.015</w:t>
            </w:r>
          </w:p>
        </w:tc>
        <w:tc>
          <w:tcPr/>
          <w:p>
            <w:pPr>
              <w:pStyle w:val="Compact"/>
            </w:pPr>
            <w:r>
              <w:t xml:space="preserve">0.359</w:t>
            </w:r>
          </w:p>
        </w:tc>
        <w:tc>
          <w:tcPr/>
          <w:p>
            <w:pPr>
              <w:pStyle w:val="Compact"/>
            </w:pPr>
            <w:r>
              <w:t xml:space="preserve">-0.033</w:t>
            </w:r>
          </w:p>
        </w:tc>
        <w:tc>
          <w:tcPr/>
          <w:p>
            <w:pPr>
              <w:pStyle w:val="Compact"/>
            </w:pPr>
            <w:r>
              <w:t xml:space="preserve">+0.004</w:t>
            </w:r>
          </w:p>
        </w:tc>
        <w:tc>
          <w:tcPr/>
          <w:p>
            <w:pPr>
              <w:pStyle w:val="Compact"/>
            </w:pPr>
            <w:r>
              <w:t xml:space="preserve">-0.053</w:t>
            </w:r>
          </w:p>
        </w:tc>
      </w:tr>
      <w:tr>
        <w:tc>
          <w:tcPr/>
          <w:p>
            <w:pPr>
              <w:pStyle w:val="Compact"/>
            </w:pPr>
            <w:r>
              <w:t xml:space="preserve">M1 CI x IQ pair vs M0</w:t>
            </w:r>
          </w:p>
        </w:tc>
        <w:tc>
          <w:tcPr/>
          <w:p>
            <w:pPr>
              <w:pStyle w:val="Compact"/>
            </w:pPr>
            <w:r>
              <w:t xml:space="preserve">0.381</w:t>
            </w:r>
          </w:p>
        </w:tc>
        <w:tc>
          <w:tcPr/>
          <w:p>
            <w:pPr>
              <w:pStyle w:val="Compact"/>
            </w:pPr>
          </w:p>
        </w:tc>
        <w:tc>
          <w:tcPr/>
          <w:p>
            <w:pPr>
              <w:pStyle w:val="Compact"/>
            </w:pPr>
          </w:p>
        </w:tc>
        <w:tc>
          <w:tcPr/>
          <w:p>
            <w:pPr>
              <w:pStyle w:val="Compact"/>
            </w:pPr>
            <w:r>
              <w:t xml:space="preserve">-0.006</w:t>
            </w:r>
          </w:p>
        </w:tc>
        <w:tc>
          <w:tcPr/>
          <w:p>
            <w:pPr>
              <w:pStyle w:val="Compact"/>
            </w:pPr>
            <w:r>
              <w:t xml:space="preserve">0.307</w:t>
            </w:r>
          </w:p>
        </w:tc>
        <w:tc>
          <w:tcPr/>
          <w:p>
            <w:pPr>
              <w:pStyle w:val="Compact"/>
            </w:pPr>
          </w:p>
        </w:tc>
        <w:tc>
          <w:tcPr/>
          <w:p>
            <w:pPr>
              <w:pStyle w:val="Compact"/>
            </w:pPr>
          </w:p>
        </w:tc>
        <w:tc>
          <w:tcPr/>
          <w:p>
            <w:pPr>
              <w:pStyle w:val="Compact"/>
            </w:pPr>
            <w:r>
              <w:t xml:space="preserve">+0.000</w:t>
            </w:r>
          </w:p>
        </w:tc>
      </w:tr>
      <w:tr>
        <w:tc>
          <w:tcPr/>
          <w:p>
            <w:pPr>
              <w:pStyle w:val="Compact"/>
            </w:pPr>
            <w:r>
              <w:t xml:space="preserve">Placebo macro pair vs M0</w:t>
            </w:r>
          </w:p>
        </w:tc>
        <w:tc>
          <w:tcPr/>
          <w:p>
            <w:pPr>
              <w:pStyle w:val="Compact"/>
            </w:pPr>
            <w:r>
              <w:t xml:space="preserve">0.390</w:t>
            </w:r>
          </w:p>
        </w:tc>
        <w:tc>
          <w:tcPr/>
          <w:p>
            <w:pPr>
              <w:pStyle w:val="Compact"/>
            </w:pPr>
          </w:p>
        </w:tc>
        <w:tc>
          <w:tcPr/>
          <w:p>
            <w:pPr>
              <w:pStyle w:val="Compact"/>
            </w:pPr>
          </w:p>
        </w:tc>
        <w:tc>
          <w:tcPr/>
          <w:p>
            <w:pPr>
              <w:pStyle w:val="Compact"/>
            </w:pPr>
            <w:r>
              <w:t xml:space="preserve">+0.004</w:t>
            </w:r>
          </w:p>
        </w:tc>
        <w:tc>
          <w:tcPr/>
          <w:p>
            <w:pPr>
              <w:pStyle w:val="Compact"/>
            </w:pPr>
            <w:r>
              <w:t xml:space="preserve">0.315</w:t>
            </w:r>
          </w:p>
        </w:tc>
        <w:tc>
          <w:tcPr/>
          <w:p>
            <w:pPr>
              <w:pStyle w:val="Compact"/>
            </w:pPr>
          </w:p>
        </w:tc>
        <w:tc>
          <w:tcPr/>
          <w:p>
            <w:pPr>
              <w:pStyle w:val="Compact"/>
            </w:pPr>
          </w:p>
        </w:tc>
        <w:tc>
          <w:tcPr/>
          <w:p>
            <w:pPr>
              <w:pStyle w:val="Compact"/>
            </w:pPr>
            <w:r>
              <w:t xml:space="preserve">+0.009</w:t>
            </w:r>
          </w:p>
        </w:tc>
      </w:tr>
      <w:tr>
        <w:tc>
          <w:tcPr/>
          <w:p>
            <w:pPr>
              <w:pStyle w:val="Compact"/>
            </w:pPr>
            <w:r>
              <w:t xml:space="preserve">Unrestricted EBM vs M0</w:t>
            </w:r>
          </w:p>
        </w:tc>
        <w:tc>
          <w:tcPr/>
          <w:p>
            <w:pPr>
              <w:pStyle w:val="Compact"/>
            </w:pPr>
            <w:r>
              <w:t xml:space="preserve">0.412</w:t>
            </w:r>
          </w:p>
        </w:tc>
        <w:tc>
          <w:tcPr/>
          <w:p>
            <w:pPr>
              <w:pStyle w:val="Compact"/>
            </w:pPr>
          </w:p>
        </w:tc>
        <w:tc>
          <w:tcPr/>
          <w:p>
            <w:pPr>
              <w:pStyle w:val="Compact"/>
            </w:pPr>
          </w:p>
        </w:tc>
        <w:tc>
          <w:tcPr/>
          <w:p>
            <w:pPr>
              <w:pStyle w:val="Compact"/>
            </w:pPr>
            <w:r>
              <w:t xml:space="preserve">+0.025</w:t>
            </w:r>
          </w:p>
        </w:tc>
        <w:tc>
          <w:tcPr/>
          <w:p>
            <w:pPr>
              <w:pStyle w:val="Compact"/>
            </w:pPr>
            <w:r>
              <w:t xml:space="preserve">0.340</w:t>
            </w:r>
          </w:p>
        </w:tc>
        <w:tc>
          <w:tcPr/>
          <w:p>
            <w:pPr>
              <w:pStyle w:val="Compact"/>
            </w:pPr>
          </w:p>
        </w:tc>
        <w:tc>
          <w:tcPr/>
          <w:p>
            <w:pPr>
              <w:pStyle w:val="Compact"/>
            </w:pPr>
          </w:p>
        </w:tc>
        <w:tc>
          <w:tcPr/>
          <w:p>
            <w:pPr>
              <w:pStyle w:val="Compact"/>
            </w:pPr>
            <w:r>
              <w:t xml:space="preserve">+0.033</w:t>
            </w:r>
          </w:p>
        </w:tc>
      </w:tr>
      <w:tr>
        <w:tc>
          <w:tcPr/>
          <w:p>
            <w:pPr>
              <w:pStyle w:val="Compact"/>
            </w:pPr>
            <w:r>
              <w:t xml:space="preserve">Linear CI x IQ vs M0</w:t>
            </w:r>
          </w:p>
        </w:tc>
        <w:tc>
          <w:tcPr/>
          <w:p>
            <w:pPr>
              <w:pStyle w:val="Compact"/>
            </w:pPr>
            <w:r>
              <w:t xml:space="preserve">0.351</w:t>
            </w:r>
          </w:p>
        </w:tc>
        <w:tc>
          <w:tcPr/>
          <w:p>
            <w:pPr>
              <w:pStyle w:val="Compact"/>
            </w:pPr>
          </w:p>
        </w:tc>
        <w:tc>
          <w:tcPr/>
          <w:p>
            <w:pPr>
              <w:pStyle w:val="Compact"/>
            </w:pPr>
          </w:p>
        </w:tc>
        <w:tc>
          <w:tcPr/>
          <w:p>
            <w:pPr>
              <w:pStyle w:val="Compact"/>
            </w:pPr>
            <w:r>
              <w:t xml:space="preserve">-0.035</w:t>
            </w:r>
          </w:p>
        </w:tc>
        <w:tc>
          <w:tcPr/>
          <w:p>
            <w:pPr>
              <w:pStyle w:val="Compact"/>
            </w:pPr>
            <w:r>
              <w:t xml:space="preserve">0.312</w:t>
            </w:r>
          </w:p>
        </w:tc>
        <w:tc>
          <w:tcPr/>
          <w:p>
            <w:pPr>
              <w:pStyle w:val="Compact"/>
            </w:pPr>
          </w:p>
        </w:tc>
        <w:tc>
          <w:tcPr/>
          <w:p>
            <w:pPr>
              <w:pStyle w:val="Compact"/>
            </w:pPr>
          </w:p>
        </w:tc>
        <w:tc>
          <w:tcPr/>
          <w:p>
            <w:pPr>
              <w:pStyle w:val="Compact"/>
            </w:pPr>
            <w:r>
              <w:t xml:space="preserve">+0.005</w:t>
            </w:r>
          </w:p>
        </w:tc>
      </w:tr>
    </w:tbl>
    <w:p>
      <w:pPr>
        <w:pStyle w:val="BodyText"/>
      </w:pPr>
      <w:r>
        <w:rPr>
          <w:i/>
          <w:iCs/>
        </w:rPr>
        <w:t xml:space="preserve">Note:</w:t>
      </w:r>
      <w:r>
        <w:t xml:space="preserve"> </w:t>
      </w:r>
      <w:r>
        <w:t xml:space="preserve">Upper rows: AP of the macro-only set and changes from adding CI, IQ or both. Lower rows: AP of the interaction specification (first column of each block) and change relative to M0 with all features (last column). Paired block bootstrap for M1 minus M0: six folds -0.006 [-0.026, 0.011] (L = 12); retrospective 0.000 [-0.006, 0.011] (L = 6). Smallest effect of interest: 0.02.</w:t>
      </w:r>
    </w:p>
    <w:p>
      <w:pPr>
        <w:pStyle w:val="BodyText"/>
      </w:pPr>
      <w:r>
        <w:t xml:space="preserve">Why does the CI signal not help? The EBM explanations (Fig. 5) rank the FX share 4 of 24 terms and the CI × IQ pair 20; the CI response is almost parallel across IQ levels. Replacing the FX share level by an expanding country mean (between) and the deviation from it (within) raises M0’s pooled AP from 0.386 to 0.415, slightly above the macro-only M0 (0.402); adding a within × IQ or a between × IQ pair gives 0.419 and 0.413. The between component carries 5.6% of total EBM importance against 2.1% for the within component (Supplementary Table S14). The CI level therefore acts mainly as a country identifier that partly duplicates and partly distorts the macro information; its time variation carries little stress information, and no CI × IQ pair adds 0.02 AP.</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5" name="Picture"/>
            <a:graphic>
              <a:graphicData uri="http://schemas.openxmlformats.org/drawingml/2006/picture">
                <pic:pic>
                  <pic:nvPicPr>
                    <pic:cNvPr descr="figures/Fig5.png" id="46" name="Picture"/>
                    <pic:cNvPicPr>
                      <a:picLocks noChangeArrowheads="1" noChangeAspect="1"/>
                    </pic:cNvPicPr>
                  </pic:nvPicPr>
                  <pic:blipFill>
                    <a:blip r:embed="rId44"/>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7"/>
    <w:bookmarkStart w:id="48" w:name="events-onsets-and-direction"/>
    <w:p>
      <w:pPr>
        <w:pStyle w:val="Heading3"/>
      </w:pPr>
      <w:r>
        <w:t xml:space="preserve">5.5. Events, onsets and direction</w:t>
      </w:r>
    </w:p>
    <w:p>
      <w:pPr>
        <w:pStyle w:val="FirstParagraph"/>
      </w:pPr>
      <w:r>
        <w:t xml:space="preserve">Table 6 moves from windows to episodes. Over six folds there are 31 episodes (10 in 2021-2022). At</w:t>
      </w:r>
      <w:r>
        <w:t xml:space="preserve"> </w:t>
      </w:r>
      <m:oMath>
        <m:sSub>
          <m:e>
            <m:r>
              <m:t>C</m:t>
            </m:r>
          </m:e>
          <m:sub>
            <m:r>
              <m:t>F</m:t>
            </m:r>
            <m:r>
              <m:t>N</m:t>
            </m:r>
          </m:sub>
        </m:sSub>
        <m:r>
          <m:rPr>
            <m:sty m:val="p"/>
          </m:rPr>
          <m:t>=</m:t>
        </m:r>
        <m:r>
          <m:t>5</m:t>
        </m:r>
      </m:oMath>
      <w:r>
        <w:t xml:space="preserve">, B0 detects 90% of episodes with 2.17 false alarms per country-year, XGBoost 94% with 2.13 and M1 87% with 1.76; in the retrospective test M1 detects only 70%. When origins already in stress are removed, AP falls for every model, and in the retrospective test C1 (0.509) and B0 (0.295) still lead M1 (0.269) in predicting onsets (20 onset windows). Over six folds most models predict depreciation and appreciation windows with similar AP (B0 0.277 and 0.345, M1 0.234 and 0.254). In 2021-2022 the persistence-based models detect the 15 depreciation windows much better (B0 0.488, C1 0.511) than the EBMs (M1 0.165), so the EBMs’ weakness in that period is concentrated in real depreciations.</w:t>
      </w:r>
    </w:p>
    <w:p>
      <w:pPr>
        <w:pStyle w:val="BodyText"/>
      </w:pPr>
      <w:r>
        <w:rPr>
          <w:b/>
          <w:bCs/>
        </w:rPr>
        <w:t xml:space="preserve">Table 6. Episode-level, onset and direction results.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Episode recall % (all)</w:t>
            </w:r>
          </w:p>
        </w:tc>
        <w:tc>
          <w:tcPr/>
          <w:p>
            <w:pPr>
              <w:pStyle w:val="Compact"/>
            </w:pPr>
            <w:r>
              <w:t xml:space="preserve">False alarms / country-year</w:t>
            </w:r>
          </w:p>
        </w:tc>
        <w:tc>
          <w:tcPr/>
          <w:p>
            <w:pPr>
              <w:pStyle w:val="Compact"/>
            </w:pPr>
            <w:r>
              <w:t xml:space="preserve">Onset AP</w:t>
            </w:r>
          </w:p>
        </w:tc>
        <w:tc>
          <w:tcPr/>
          <w:p>
            <w:pPr>
              <w:pStyle w:val="Compact"/>
            </w:pPr>
            <w:r>
              <w:t xml:space="preserve">Depr. AP</w:t>
            </w:r>
          </w:p>
        </w:tc>
        <w:tc>
          <w:tcPr/>
          <w:p>
            <w:pPr>
              <w:pStyle w:val="Compact"/>
            </w:pPr>
            <w:r>
              <w:t xml:space="preserve">Appr. AP</w:t>
            </w:r>
          </w:p>
        </w:tc>
        <w:tc>
          <w:tcPr/>
          <w:p>
            <w:pPr>
              <w:pStyle w:val="Compact"/>
            </w:pPr>
            <w:r>
              <w:t xml:space="preserve">Episode recall % (retro)</w:t>
            </w:r>
          </w:p>
        </w:tc>
        <w:tc>
          <w:tcPr/>
          <w:p>
            <w:pPr>
              <w:pStyle w:val="Compact"/>
            </w:pPr>
            <w:r>
              <w:t xml:space="preserve">False alarms</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0.217</w:t>
            </w:r>
          </w:p>
        </w:tc>
        <w:tc>
          <w:tcPr/>
          <w:p>
            <w:pPr>
              <w:pStyle w:val="Compact"/>
            </w:pPr>
            <w:r>
              <w:t xml:space="preserve">0.277</w:t>
            </w:r>
          </w:p>
        </w:tc>
        <w:tc>
          <w:tcPr/>
          <w:p>
            <w:pPr>
              <w:pStyle w:val="Compact"/>
            </w:pPr>
            <w:r>
              <w:t xml:space="preserve">0.345</w:t>
            </w:r>
          </w:p>
        </w:tc>
        <w:tc>
          <w:tcPr/>
          <w:p>
            <w:pPr>
              <w:pStyle w:val="Compact"/>
            </w:pPr>
            <w:r>
              <w:t xml:space="preserve">90</w:t>
            </w:r>
          </w:p>
        </w:tc>
        <w:tc>
          <w:tcPr/>
          <w:p>
            <w:pPr>
              <w:pStyle w:val="Compact"/>
            </w:pPr>
            <w:r>
              <w:t xml:space="preserve">2.94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0.306</w:t>
            </w:r>
          </w:p>
        </w:tc>
        <w:tc>
          <w:tcPr/>
          <w:p>
            <w:pPr>
              <w:pStyle w:val="Compact"/>
            </w:pPr>
            <w:r>
              <w:t xml:space="preserve">0.323</w:t>
            </w:r>
          </w:p>
        </w:tc>
        <w:tc>
          <w:tcPr/>
          <w:p>
            <w:pPr>
              <w:pStyle w:val="Compact"/>
            </w:pPr>
            <w:r>
              <w:t xml:space="preserve">0.331</w:t>
            </w:r>
          </w:p>
        </w:tc>
        <w:tc>
          <w:tcPr/>
          <w:p>
            <w:pPr>
              <w:pStyle w:val="Compact"/>
            </w:pPr>
            <w:r>
              <w:t xml:space="preserve">80</w:t>
            </w:r>
          </w:p>
        </w:tc>
        <w:tc>
          <w:tcPr/>
          <w:p>
            <w:pPr>
              <w:pStyle w:val="Compact"/>
            </w:pPr>
            <w:r>
              <w:t xml:space="preserve">3.06</w:t>
            </w:r>
          </w:p>
        </w:tc>
        <w:tc>
          <w:tcPr/>
          <w:p>
            <w:pPr>
              <w:pStyle w:val="Compact"/>
            </w:pPr>
            <w:r>
              <w:t xml:space="preserve">0.509</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94</w:t>
            </w:r>
          </w:p>
        </w:tc>
        <w:tc>
          <w:tcPr/>
          <w:p>
            <w:pPr>
              <w:pStyle w:val="Compact"/>
            </w:pPr>
            <w:r>
              <w:t xml:space="preserve">1.78</w:t>
            </w:r>
          </w:p>
        </w:tc>
        <w:tc>
          <w:tcPr/>
          <w:p>
            <w:pPr>
              <w:pStyle w:val="Compact"/>
            </w:pPr>
            <w:r>
              <w:t xml:space="preserve">0.350</w:t>
            </w:r>
          </w:p>
        </w:tc>
        <w:tc>
          <w:tcPr/>
          <w:p>
            <w:pPr>
              <w:pStyle w:val="Compact"/>
            </w:pPr>
            <w:r>
              <w:t xml:space="preserve">0.216</w:t>
            </w:r>
          </w:p>
        </w:tc>
        <w:tc>
          <w:tcPr/>
          <w:p>
            <w:pPr>
              <w:pStyle w:val="Compact"/>
            </w:pPr>
            <w:r>
              <w:t xml:space="preserve">0.261</w:t>
            </w:r>
          </w:p>
        </w:tc>
        <w:tc>
          <w:tcPr/>
          <w:p>
            <w:pPr>
              <w:pStyle w:val="Compact"/>
            </w:pPr>
            <w:r>
              <w:t xml:space="preserve">90</w:t>
            </w:r>
          </w:p>
        </w:tc>
        <w:tc>
          <w:tcPr/>
          <w:p>
            <w:pPr>
              <w:pStyle w:val="Compact"/>
            </w:pPr>
            <w:r>
              <w:t xml:space="preserve">2.89</w:t>
            </w:r>
          </w:p>
        </w:tc>
        <w:tc>
          <w:tcPr/>
          <w:p>
            <w:pPr>
              <w:pStyle w:val="Compact"/>
            </w:pPr>
            <w:r>
              <w:t xml:space="preserve">0.414</w:t>
            </w:r>
          </w:p>
        </w:tc>
        <w:tc>
          <w:tcPr/>
          <w:p>
            <w:pPr>
              <w:pStyle w:val="Compact"/>
            </w:pPr>
            <w:r>
              <w:t xml:space="preserve">0.197</w:t>
            </w:r>
          </w:p>
        </w:tc>
        <w:tc>
          <w:tcPr/>
          <w:p>
            <w:pPr>
              <w:pStyle w:val="Compact"/>
            </w:pPr>
            <w:r>
              <w:t xml:space="preserve">0.260</w:t>
            </w:r>
          </w:p>
        </w:tc>
      </w:tr>
      <w:tr>
        <w:tc>
          <w:tcPr/>
          <w:p>
            <w:pPr>
              <w:pStyle w:val="Compact"/>
            </w:pPr>
            <w:r>
              <w:t xml:space="preserve">B3 Random forest</w:t>
            </w:r>
          </w:p>
        </w:tc>
        <w:tc>
          <w:tcPr/>
          <w:p>
            <w:pPr>
              <w:pStyle w:val="Compact"/>
            </w:pPr>
            <w:r>
              <w:t xml:space="preserve">94</w:t>
            </w:r>
          </w:p>
        </w:tc>
        <w:tc>
          <w:tcPr/>
          <w:p>
            <w:pPr>
              <w:pStyle w:val="Compact"/>
            </w:pPr>
            <w:r>
              <w:t xml:space="preserve">2.57</w:t>
            </w:r>
          </w:p>
        </w:tc>
        <w:tc>
          <w:tcPr/>
          <w:p>
            <w:pPr>
              <w:pStyle w:val="Compact"/>
            </w:pPr>
            <w:r>
              <w:t xml:space="preserve">0.324</w:t>
            </w:r>
          </w:p>
        </w:tc>
        <w:tc>
          <w:tcPr/>
          <w:p>
            <w:pPr>
              <w:pStyle w:val="Compact"/>
            </w:pPr>
            <w:r>
              <w:t xml:space="preserve">0.366</w:t>
            </w:r>
          </w:p>
        </w:tc>
        <w:tc>
          <w:tcPr/>
          <w:p>
            <w:pPr>
              <w:pStyle w:val="Compact"/>
            </w:pPr>
            <w:r>
              <w:t xml:space="preserve">0.350</w:t>
            </w:r>
          </w:p>
        </w:tc>
        <w:tc>
          <w:tcPr/>
          <w:p>
            <w:pPr>
              <w:pStyle w:val="Compact"/>
            </w:pPr>
            <w:r>
              <w:t xml:space="preserve">90</w:t>
            </w:r>
          </w:p>
        </w:tc>
        <w:tc>
          <w:tcPr/>
          <w:p>
            <w:pPr>
              <w:pStyle w:val="Compact"/>
            </w:pPr>
            <w:r>
              <w:t xml:space="preserve">4.17</w:t>
            </w:r>
          </w:p>
        </w:tc>
        <w:tc>
          <w:tcPr/>
          <w:p>
            <w:pPr>
              <w:pStyle w:val="Compact"/>
            </w:pPr>
            <w:r>
              <w:t xml:space="preserve">0.297</w:t>
            </w:r>
          </w:p>
        </w:tc>
        <w:tc>
          <w:tcPr/>
          <w:p>
            <w:pPr>
              <w:pStyle w:val="Compact"/>
            </w:pPr>
            <w:r>
              <w:t xml:space="preserve">0.450</w:t>
            </w:r>
          </w:p>
        </w:tc>
        <w:tc>
          <w:tcPr/>
          <w:p>
            <w:pPr>
              <w:pStyle w:val="Compact"/>
            </w:pPr>
            <w:r>
              <w:t xml:space="preserve">0.299</w:t>
            </w:r>
          </w:p>
        </w:tc>
      </w:tr>
      <w:tr>
        <w:tc>
          <w:tcPr/>
          <w:p>
            <w:pPr>
              <w:pStyle w:val="Compact"/>
            </w:pPr>
            <w:r>
              <w:t xml:space="preserve">B4 XGBoost</w:t>
            </w:r>
          </w:p>
        </w:tc>
        <w:tc>
          <w:tcPr/>
          <w:p>
            <w:pPr>
              <w:pStyle w:val="Compact"/>
            </w:pPr>
            <w:r>
              <w:t xml:space="preserve">94</w:t>
            </w:r>
          </w:p>
        </w:tc>
        <w:tc>
          <w:tcPr/>
          <w:p>
            <w:pPr>
              <w:pStyle w:val="Compact"/>
            </w:pPr>
            <w:r>
              <w:t xml:space="preserve">2.13</w:t>
            </w:r>
          </w:p>
        </w:tc>
        <w:tc>
          <w:tcPr/>
          <w:p>
            <w:pPr>
              <w:pStyle w:val="Compact"/>
            </w:pPr>
            <w:r>
              <w:t xml:space="preserve">0.371</w:t>
            </w:r>
          </w:p>
        </w:tc>
        <w:tc>
          <w:tcPr/>
          <w:p>
            <w:pPr>
              <w:pStyle w:val="Compact"/>
            </w:pPr>
            <w:r>
              <w:t xml:space="preserve">0.309</w:t>
            </w:r>
          </w:p>
        </w:tc>
        <w:tc>
          <w:tcPr/>
          <w:p>
            <w:pPr>
              <w:pStyle w:val="Compact"/>
            </w:pPr>
            <w:r>
              <w:t xml:space="preserve">0.317</w:t>
            </w:r>
          </w:p>
        </w:tc>
        <w:tc>
          <w:tcPr/>
          <w:p>
            <w:pPr>
              <w:pStyle w:val="Compact"/>
            </w:pPr>
            <w:r>
              <w:t xml:space="preserve">90</w:t>
            </w:r>
          </w:p>
        </w:tc>
        <w:tc>
          <w:tcPr/>
          <w:p>
            <w:pPr>
              <w:pStyle w:val="Compact"/>
            </w:pPr>
            <w:r>
              <w:t xml:space="preserve">3.28</w:t>
            </w:r>
          </w:p>
        </w:tc>
        <w:tc>
          <w:tcPr/>
          <w:p>
            <w:pPr>
              <w:pStyle w:val="Compact"/>
            </w:pPr>
            <w:r>
              <w:t xml:space="preserve">0.354</w:t>
            </w:r>
          </w:p>
        </w:tc>
        <w:tc>
          <w:tcPr/>
          <w:p>
            <w:pPr>
              <w:pStyle w:val="Compact"/>
            </w:pPr>
            <w:r>
              <w:t xml:space="preserve">0.297</w:t>
            </w:r>
          </w:p>
        </w:tc>
        <w:tc>
          <w:tcPr/>
          <w:p>
            <w:pPr>
              <w:pStyle w:val="Compact"/>
            </w:pPr>
            <w:r>
              <w:t xml:space="preserve">0.302</w:t>
            </w:r>
          </w:p>
        </w:tc>
      </w:tr>
      <w:tr>
        <w:tc>
          <w:tcPr/>
          <w:p>
            <w:pPr>
              <w:pStyle w:val="Compact"/>
            </w:pPr>
            <w:r>
              <w:t xml:space="preserve">M0 EBM additive</w:t>
            </w:r>
          </w:p>
        </w:tc>
        <w:tc>
          <w:tcPr/>
          <w:p>
            <w:pPr>
              <w:pStyle w:val="Compact"/>
            </w:pPr>
            <w:r>
              <w:t xml:space="preserve">87</w:t>
            </w:r>
          </w:p>
        </w:tc>
        <w:tc>
          <w:tcPr/>
          <w:p>
            <w:pPr>
              <w:pStyle w:val="Compact"/>
            </w:pPr>
            <w:r>
              <w:t xml:space="preserve">1.70</w:t>
            </w:r>
          </w:p>
        </w:tc>
        <w:tc>
          <w:tcPr/>
          <w:p>
            <w:pPr>
              <w:pStyle w:val="Compact"/>
            </w:pPr>
            <w:r>
              <w:t xml:space="preserve">0.332</w:t>
            </w:r>
          </w:p>
        </w:tc>
        <w:tc>
          <w:tcPr/>
          <w:p>
            <w:pPr>
              <w:pStyle w:val="Compact"/>
            </w:pPr>
            <w:r>
              <w:t xml:space="preserve">0.241</w:t>
            </w:r>
          </w:p>
        </w:tc>
        <w:tc>
          <w:tcPr/>
          <w:p>
            <w:pPr>
              <w:pStyle w:val="Compact"/>
            </w:pPr>
            <w:r>
              <w:t xml:space="preserve">0.252</w:t>
            </w:r>
          </w:p>
        </w:tc>
        <w:tc>
          <w:tcPr/>
          <w:p>
            <w:pPr>
              <w:pStyle w:val="Compact"/>
            </w:pPr>
            <w:r>
              <w:t xml:space="preserve">70</w:t>
            </w:r>
          </w:p>
        </w:tc>
        <w:tc>
          <w:tcPr/>
          <w:p>
            <w:pPr>
              <w:pStyle w:val="Compact"/>
            </w:pPr>
            <w:r>
              <w:t xml:space="preserve">2.22</w:t>
            </w:r>
          </w:p>
        </w:tc>
        <w:tc>
          <w:tcPr/>
          <w:p>
            <w:pPr>
              <w:pStyle w:val="Compact"/>
            </w:pPr>
            <w:r>
              <w:t xml:space="preserve">0.268</w:t>
            </w:r>
          </w:p>
        </w:tc>
        <w:tc>
          <w:tcPr/>
          <w:p>
            <w:pPr>
              <w:pStyle w:val="Compact"/>
            </w:pPr>
            <w:r>
              <w:t xml:space="preserve">0.166</w:t>
            </w:r>
          </w:p>
        </w:tc>
        <w:tc>
          <w:tcPr/>
          <w:p>
            <w:pPr>
              <w:pStyle w:val="Compact"/>
            </w:pPr>
            <w:r>
              <w:t xml:space="preserve">0.226</w:t>
            </w:r>
          </w:p>
        </w:tc>
      </w:tr>
      <w:tr>
        <w:tc>
          <w:tcPr/>
          <w:p>
            <w:pPr>
              <w:pStyle w:val="Compact"/>
            </w:pPr>
            <w:r>
              <w:t xml:space="preserve">M1 EBM + CI x IQ</w:t>
            </w:r>
          </w:p>
        </w:tc>
        <w:tc>
          <w:tcPr/>
          <w:p>
            <w:pPr>
              <w:pStyle w:val="Compact"/>
            </w:pPr>
            <w:r>
              <w:t xml:space="preserve">87</w:t>
            </w:r>
          </w:p>
        </w:tc>
        <w:tc>
          <w:tcPr/>
          <w:p>
            <w:pPr>
              <w:pStyle w:val="Compact"/>
            </w:pPr>
            <w:r>
              <w:t xml:space="preserve">1.76</w:t>
            </w:r>
          </w:p>
        </w:tc>
        <w:tc>
          <w:tcPr/>
          <w:p>
            <w:pPr>
              <w:pStyle w:val="Compact"/>
            </w:pPr>
            <w:r>
              <w:t xml:space="preserve">0.322</w:t>
            </w:r>
          </w:p>
        </w:tc>
        <w:tc>
          <w:tcPr/>
          <w:p>
            <w:pPr>
              <w:pStyle w:val="Compact"/>
            </w:pPr>
            <w:r>
              <w:t xml:space="preserve">0.234</w:t>
            </w:r>
          </w:p>
        </w:tc>
        <w:tc>
          <w:tcPr/>
          <w:p>
            <w:pPr>
              <w:pStyle w:val="Compact"/>
            </w:pPr>
            <w:r>
              <w:t xml:space="preserve">0.254</w:t>
            </w:r>
          </w:p>
        </w:tc>
        <w:tc>
          <w:tcPr/>
          <w:p>
            <w:pPr>
              <w:pStyle w:val="Compact"/>
            </w:pPr>
            <w:r>
              <w:t xml:space="preserve">70</w:t>
            </w:r>
          </w:p>
        </w:tc>
        <w:tc>
          <w:tcPr/>
          <w:p>
            <w:pPr>
              <w:pStyle w:val="Compact"/>
            </w:pPr>
            <w:r>
              <w:t xml:space="preserve">2.22</w:t>
            </w:r>
          </w:p>
        </w:tc>
        <w:tc>
          <w:tcPr/>
          <w:p>
            <w:pPr>
              <w:pStyle w:val="Compact"/>
            </w:pPr>
            <w:r>
              <w:t xml:space="preserve">0.269</w:t>
            </w:r>
          </w:p>
        </w:tc>
        <w:tc>
          <w:tcPr/>
          <w:p>
            <w:pPr>
              <w:pStyle w:val="Compact"/>
            </w:pPr>
            <w:r>
              <w:t xml:space="preserve">0.165</w:t>
            </w:r>
          </w:p>
        </w:tc>
        <w:tc>
          <w:tcPr/>
          <w:p>
            <w:pPr>
              <w:pStyle w:val="Compact"/>
            </w:pPr>
            <w:r>
              <w:t xml:space="preserve">0.228</w:t>
            </w:r>
          </w:p>
        </w:tc>
      </w:tr>
    </w:tbl>
    <w:p>
      <w:pPr>
        <w:pStyle w:val="BodyText"/>
      </w:pPr>
      <w:r>
        <w:rPr>
          <w:i/>
          <w:iCs/>
        </w:rPr>
        <w:t xml:space="preserve">Note:</w:t>
      </w:r>
      <w:r>
        <w:t xml:space="preserve"> </w:t>
      </w:r>
      <w:r>
        <w:t xml:space="preserve">Alerts at tau = 1/6. Episodes: 31 (all folds), 10 (2021-2022). Onset windows: 67 (all), 20 (retro). Depr./Appr.: high-risk windows with negative / non-negative three-month REER change evaluated against all normal windows.</w:t>
      </w:r>
    </w:p>
    <w:bookmarkEnd w:id="48"/>
    <w:bookmarkStart w:id="55" w:name="calibration-and-the-decision-layer"/>
    <w:p>
      <w:pPr>
        <w:pStyle w:val="Heading3"/>
      </w:pPr>
      <w:r>
        <w:t xml:space="preserve">5.6. Calibration and the decision layer</w:t>
      </w:r>
    </w:p>
    <w:p>
      <w:pPr>
        <w:pStyle w:val="FirstParagraph"/>
      </w:pPr>
      <w:r>
        <w:t xml:space="preserve">Platt scaling on the eight-month window worsens the pooled Brier score for 7 of 7 models (M1: 0.133 raw, 0.201 with eight-month Platt, 0.141 with expanding Platt); calibration windows contain as few as 4 events. In the automated setting M1 costs 43.4 per 100 forecasts against 53.4 for B0 over six folds (difference -10.0 [-36.3, 4.9]), and 66.7 against 41.2 in the retrospective test (Fig. 6). Table 7 reports the review simulation with two reviews per month and a fee of 0.5. Routing the least confident M1 cases beats random routing in both windows (-7.8 [-16.5, -0.3] and -13.0 [-30.0, -3.3]), and review also helps B0 (-6.5 [-14.2, -0.3]). Whether M1 with review beats B0 with review depends on the window: -9.9 [-30.9, 0.5] over six folds but 13.9 [-4.6, 22.2] in 2021-2022. Replacing M1 by the macro-only EBM changes the cost by 0.6 [-8.6, 3.5].</w:t>
      </w:r>
    </w:p>
    <w:p>
      <w:pPr>
        <w:pStyle w:val="BodyText"/>
      </w:pPr>
      <w:r>
        <w:rPr>
          <w:b/>
          <w:bCs/>
        </w:rPr>
        <w:t xml:space="preserve">Table 7.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Window</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37.0</w:t>
            </w:r>
          </w:p>
        </w:tc>
        <w:tc>
          <w:tcPr/>
          <w:p>
            <w:pPr>
              <w:pStyle w:val="Compact"/>
            </w:pPr>
            <w:r>
              <w:t xml:space="preserve">46.9</w:t>
            </w:r>
          </w:p>
        </w:tc>
        <w:tc>
          <w:tcPr/>
          <w:p>
            <w:pPr>
              <w:pStyle w:val="Compact"/>
            </w:pPr>
            <w:r>
              <w:t xml:space="preserve">-9.9 [-30.9, 0.5]</w:t>
            </w:r>
          </w:p>
        </w:tc>
        <w:tc>
          <w:tcPr/>
          <w:p>
            <w:pPr>
              <w:pStyle w:val="Compact"/>
            </w:pPr>
            <w:r>
              <w:t xml:space="preserve">-9.1 [-29.1, 0.8]</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37.0</w:t>
            </w:r>
          </w:p>
        </w:tc>
        <w:tc>
          <w:tcPr/>
          <w:p>
            <w:pPr>
              <w:pStyle w:val="Compact"/>
            </w:pPr>
            <w:r>
              <w:t xml:space="preserve">53.4</w:t>
            </w:r>
          </w:p>
        </w:tc>
        <w:tc>
          <w:tcPr/>
          <w:p>
            <w:pPr>
              <w:pStyle w:val="Compact"/>
            </w:pPr>
            <w:r>
              <w:t xml:space="preserve">-16.4 [-42.7, -3.4]</w:t>
            </w:r>
          </w:p>
        </w:tc>
        <w:tc>
          <w:tcPr/>
          <w:p>
            <w:pPr>
              <w:pStyle w:val="Compact"/>
            </w:pPr>
            <w:r>
              <w:t xml:space="preserve">-8.3 [-33.3, 3.5]</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37.0</w:t>
            </w:r>
          </w:p>
        </w:tc>
        <w:tc>
          <w:tcPr/>
          <w:p>
            <w:pPr>
              <w:pStyle w:val="Compact"/>
            </w:pPr>
            <w:r>
              <w:t xml:space="preserve">60.5</w:t>
            </w:r>
          </w:p>
        </w:tc>
        <w:tc>
          <w:tcPr/>
          <w:p>
            <w:pPr>
              <w:pStyle w:val="Compact"/>
            </w:pPr>
            <w:r>
              <w:t xml:space="preserve">-23.5 [-49.4, -3.5]</w:t>
            </w:r>
          </w:p>
        </w:tc>
        <w:tc>
          <w:tcPr/>
          <w:p>
            <w:pPr>
              <w:pStyle w:val="Compact"/>
            </w:pPr>
            <w:r>
              <w:t xml:space="preserve">-26.9 [-53.7, -6.6]</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37.0</w:t>
            </w:r>
          </w:p>
        </w:tc>
        <w:tc>
          <w:tcPr/>
          <w:p>
            <w:pPr>
              <w:pStyle w:val="Compact"/>
            </w:pPr>
            <w:r>
              <w:t xml:space="preserve">44.8</w:t>
            </w:r>
          </w:p>
        </w:tc>
        <w:tc>
          <w:tcPr/>
          <w:p>
            <w:pPr>
              <w:pStyle w:val="Compact"/>
            </w:pPr>
            <w:r>
              <w:t xml:space="preserve">-7.8 [-16.5, -0.3]</w:t>
            </w:r>
          </w:p>
        </w:tc>
        <w:tc>
          <w:tcPr/>
          <w:p>
            <w:pPr>
              <w:pStyle w:val="Compact"/>
            </w:pPr>
            <w:r>
              <w:t xml:space="preserve">-7.5 [-15.4, -0.2]</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37.0</w:t>
            </w:r>
          </w:p>
        </w:tc>
        <w:tc>
          <w:tcPr/>
          <w:p>
            <w:pPr>
              <w:pStyle w:val="Compact"/>
            </w:pPr>
            <w:r>
              <w:t xml:space="preserve">36.4</w:t>
            </w:r>
          </w:p>
        </w:tc>
        <w:tc>
          <w:tcPr/>
          <w:p>
            <w:pPr>
              <w:pStyle w:val="Compact"/>
            </w:pPr>
            <w:r>
              <w:t xml:space="preserve">+0.6 [-8.6, 3.5]</w:t>
            </w:r>
          </w:p>
        </w:tc>
        <w:tc>
          <w:tcPr/>
          <w:p>
            <w:pPr>
              <w:pStyle w:val="Compact"/>
            </w:pPr>
            <w:r>
              <w:t xml:space="preserve">-0.7 [-9.3, 2.3]</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43.4</w:t>
            </w:r>
          </w:p>
        </w:tc>
        <w:tc>
          <w:tcPr/>
          <w:p>
            <w:pPr>
              <w:pStyle w:val="Compact"/>
            </w:pPr>
            <w:r>
              <w:t xml:space="preserve">53.4</w:t>
            </w:r>
          </w:p>
        </w:tc>
        <w:tc>
          <w:tcPr/>
          <w:p>
            <w:pPr>
              <w:pStyle w:val="Compact"/>
            </w:pPr>
            <w:r>
              <w:t xml:space="preserve">-10.0 [-36.3, 4.9]</w:t>
            </w:r>
          </w:p>
        </w:tc>
        <w:tc>
          <w:tcPr/>
          <w:p>
            <w:pPr>
              <w:pStyle w:val="Compact"/>
            </w:pPr>
            <w:r>
              <w:t xml:space="preserve">-10.0 [-36.3, 4.9]</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70.5</w:t>
            </w:r>
          </w:p>
        </w:tc>
        <w:tc>
          <w:tcPr/>
          <w:p>
            <w:pPr>
              <w:pStyle w:val="Compact"/>
            </w:pPr>
            <w:r>
              <w:t xml:space="preserve">43.4</w:t>
            </w:r>
          </w:p>
        </w:tc>
        <w:tc>
          <w:tcPr/>
          <w:p>
            <w:pPr>
              <w:pStyle w:val="Compact"/>
            </w:pPr>
            <w:r>
              <w:t xml:space="preserve">+27.2 [13.9, 57.9]</w:t>
            </w:r>
          </w:p>
        </w:tc>
        <w:tc>
          <w:tcPr/>
          <w:p>
            <w:pPr>
              <w:pStyle w:val="Compact"/>
            </w:pPr>
            <w:r>
              <w:t xml:space="preserve">+27.2 [13.9, 57.9]</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50.0</w:t>
            </w:r>
          </w:p>
        </w:tc>
        <w:tc>
          <w:tcPr/>
          <w:p>
            <w:pPr>
              <w:pStyle w:val="Compact"/>
            </w:pPr>
            <w:r>
              <w:t xml:space="preserve">36.1</w:t>
            </w:r>
          </w:p>
        </w:tc>
        <w:tc>
          <w:tcPr/>
          <w:p>
            <w:pPr>
              <w:pStyle w:val="Compact"/>
            </w:pPr>
            <w:r>
              <w:t xml:space="preserve">+13.9 [-4.6, 22.2]</w:t>
            </w:r>
          </w:p>
        </w:tc>
        <w:tc>
          <w:tcPr/>
          <w:p>
            <w:pPr>
              <w:pStyle w:val="Compact"/>
            </w:pPr>
            <w:r>
              <w:t xml:space="preserve">+13.9 [-3.8, 22.3]</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50.0</w:t>
            </w:r>
          </w:p>
        </w:tc>
        <w:tc>
          <w:tcPr/>
          <w:p>
            <w:pPr>
              <w:pStyle w:val="Compact"/>
            </w:pPr>
            <w:r>
              <w:t xml:space="preserve">41.2</w:t>
            </w:r>
          </w:p>
        </w:tc>
        <w:tc>
          <w:tcPr/>
          <w:p>
            <w:pPr>
              <w:pStyle w:val="Compact"/>
            </w:pPr>
            <w:r>
              <w:t xml:space="preserve">+8.8 [-9.3, 14.8]</w:t>
            </w:r>
          </w:p>
        </w:tc>
        <w:tc>
          <w:tcPr/>
          <w:p>
            <w:pPr>
              <w:pStyle w:val="Compact"/>
            </w:pPr>
            <w:r>
              <w:t xml:space="preserve">+17.3 [0.3, 23.1]</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50.0</w:t>
            </w:r>
          </w:p>
        </w:tc>
        <w:tc>
          <w:tcPr/>
          <w:p>
            <w:pPr>
              <w:pStyle w:val="Compact"/>
            </w:pPr>
            <w:r>
              <w:t xml:space="preserve">43.5</w:t>
            </w:r>
          </w:p>
        </w:tc>
        <w:tc>
          <w:tcPr/>
          <w:p>
            <w:pPr>
              <w:pStyle w:val="Compact"/>
            </w:pPr>
            <w:r>
              <w:t xml:space="preserve">+6.5 [-22.2, 18.1]</w:t>
            </w:r>
          </w:p>
        </w:tc>
        <w:tc>
          <w:tcPr/>
          <w:p>
            <w:pPr>
              <w:pStyle w:val="Compact"/>
            </w:pPr>
            <w:r>
              <w:t xml:space="preserve">+2.4 [-27.2, 14.6]</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50.0</w:t>
            </w:r>
          </w:p>
        </w:tc>
        <w:tc>
          <w:tcPr/>
          <w:p>
            <w:pPr>
              <w:pStyle w:val="Compact"/>
            </w:pPr>
            <w:r>
              <w:t xml:space="preserve">63.0</w:t>
            </w:r>
          </w:p>
        </w:tc>
        <w:tc>
          <w:tcPr/>
          <w:p>
            <w:pPr>
              <w:pStyle w:val="Compact"/>
            </w:pPr>
            <w:r>
              <w:t xml:space="preserve">-13.0 [-30.0, -3.3]</w:t>
            </w:r>
          </w:p>
        </w:tc>
        <w:tc>
          <w:tcPr/>
          <w:p>
            <w:pPr>
              <w:pStyle w:val="Compact"/>
            </w:pPr>
            <w:r>
              <w:t xml:space="preserve">-11.9 [-28.0, -2.1]</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50.0</w:t>
            </w:r>
          </w:p>
        </w:tc>
        <w:tc>
          <w:tcPr/>
          <w:p>
            <w:pPr>
              <w:pStyle w:val="Compact"/>
            </w:pPr>
            <w:r>
              <w:t xml:space="preserve">44.4</w:t>
            </w:r>
          </w:p>
        </w:tc>
        <w:tc>
          <w:tcPr/>
          <w:p>
            <w:pPr>
              <w:pStyle w:val="Compact"/>
            </w:pPr>
            <w:r>
              <w:t xml:space="preserve">+5.6 [-4.2, 10.6]</w:t>
            </w:r>
          </w:p>
        </w:tc>
        <w:tc>
          <w:tcPr/>
          <w:p>
            <w:pPr>
              <w:pStyle w:val="Compact"/>
            </w:pPr>
            <w:r>
              <w:t xml:space="preserve">+4.1 [-4.9, 8.8]</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66.7</w:t>
            </w:r>
          </w:p>
        </w:tc>
        <w:tc>
          <w:tcPr/>
          <w:p>
            <w:pPr>
              <w:pStyle w:val="Compact"/>
            </w:pPr>
            <w:r>
              <w:t xml:space="preserve">41.2</w:t>
            </w:r>
          </w:p>
        </w:tc>
        <w:tc>
          <w:tcPr/>
          <w:p>
            <w:pPr>
              <w:pStyle w:val="Compact"/>
            </w:pPr>
            <w:r>
              <w:t xml:space="preserve">+25.5 [-1.4, 40.3]</w:t>
            </w:r>
          </w:p>
        </w:tc>
        <w:tc>
          <w:tcPr/>
          <w:p>
            <w:pPr>
              <w:pStyle w:val="Compact"/>
            </w:pPr>
            <w:r>
              <w:t xml:space="preserve">+25.5 [-1.4, 40.3]</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74.1</w:t>
            </w:r>
          </w:p>
        </w:tc>
        <w:tc>
          <w:tcPr/>
          <w:p>
            <w:pPr>
              <w:pStyle w:val="Compact"/>
            </w:pPr>
            <w:r>
              <w:t xml:space="preserve">66.7</w:t>
            </w:r>
          </w:p>
        </w:tc>
        <w:tc>
          <w:tcPr/>
          <w:p>
            <w:pPr>
              <w:pStyle w:val="Compact"/>
            </w:pPr>
            <w:r>
              <w:t xml:space="preserve">+7.4 [-2.8, 24.1]</w:t>
            </w:r>
          </w:p>
        </w:tc>
        <w:tc>
          <w:tcPr/>
          <w:p>
            <w:pPr>
              <w:pStyle w:val="Compact"/>
            </w:pPr>
            <w:r>
              <w:t xml:space="preserve">+7.4 [-2.8, 24.1]</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reviewed first; vol. review: highest lagged volatility first. Two reviews per month (k = 2), review fee 0.5, C_FN = 5. M1 uses its locked calibration. Block bootstrap: L = 12 (all), L = 6 (retro). Accuracy 1.0 is an upper bound. The full grid of policies, routing rules, budgets and fees is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0" name="Picture"/>
            <a:graphic>
              <a:graphicData uri="http://schemas.openxmlformats.org/drawingml/2006/picture">
                <pic:pic>
                  <pic:nvPicPr>
                    <pic:cNvPr descr="figures/Fig6.png" id="51" name="Picture"/>
                    <pic:cNvPicPr>
                      <a:picLocks noChangeArrowheads="1" noChangeAspect="1"/>
                    </pic:cNvPicPr>
                  </pic:nvPicPr>
                  <pic:blipFill>
                    <a:blip r:embed="rId49"/>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3" name="Picture"/>
            <a:graphic>
              <a:graphicData uri="http://schemas.openxmlformats.org/drawingml/2006/picture">
                <pic:pic>
                  <pic:nvPicPr>
                    <pic:cNvPr descr="figures/Fig7.png" id="54" name="Picture"/>
                    <pic:cNvPicPr>
                      <a:picLocks noChangeArrowheads="1" noChangeAspect="1"/>
                    </pic:cNvPicPr>
                  </pic:nvPicPr>
                  <pic:blipFill>
                    <a:blip r:embed="rId52"/>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5"/>
    <w:bookmarkStart w:id="56" w:name="robustness-and-information-timing"/>
    <w:p>
      <w:pPr>
        <w:pStyle w:val="Heading3"/>
      </w:pPr>
      <w:r>
        <w:t xml:space="preserve">5.7. Robustness and information timing</w:t>
      </w:r>
    </w:p>
    <w:p>
      <w:pPr>
        <w:pStyle w:val="FirstParagraph"/>
      </w:pPr>
      <w:r>
        <w:t xml:space="preserve">Information timing matters more than model choice. Using month-</w:t>
      </w:r>
      <m:oMath>
        <m:r>
          <m:t>t</m:t>
        </m:r>
      </m:oMath>
      <w:r>
        <w:t xml:space="preserve"> </w:t>
      </w:r>
      <w:r>
        <w:t xml:space="preserve">REER values, which are not published at the end of month</w:t>
      </w:r>
      <w:r>
        <w:t xml:space="preserve"> </w:t>
      </w:r>
      <m:oMath>
        <m:r>
          <m:t>t</m:t>
        </m:r>
      </m:oMath>
      <w:r>
        <w:t xml:space="preserve">, raises the pooled AP of M1 from 0.381 to 0.474 and of M0 from 0.386 to 0.468; an evaluation without the one-month REER lag would therefore overstate the EBMs’ skill. Longer CI release lags do not hurt: with lags of 3, 6 and 12 months M1 reaches 0.415, 0.395 and 0.403 over six folds, and freezing CI at the training cut-off gives 0.376. Other variations (Supplementary Table S6) leave the conclusions unchanged: with a q75 threshold B0, XGBoost and M1 reach 0.541, 0.583 and 0.538; with q90 0.182, 0.244 and 0.287; at a six-month horizon 0.493, 0.413 and 0.378. Single WGI dimensions give M1 an AP between 0.353 and 0.391, and in the matched Core-6 sample M1 reaches 0.430 with SWIFT features and 0.394 without CI. Under leave-one-country-out validation the equal-weighted AP is 0.414 for B0 and 0.405 for M1, and deleting any single country moves the M1-M0 difference only between -0.011 and -0.001. Sub-period results, external transfer and adaptive training weights are reported in Supplementary Tables S7-S9; none of them reverses the ranking of B0 against the learned models. The answer to RQ2 is negative: CI and IQ add no detectable forecast value beyond persistence and country identity.</w:t>
      </w:r>
    </w:p>
    <w:bookmarkEnd w:id="56"/>
    <w:bookmarkStart w:id="57" w:name="pre-specified-confirmation-2023-2025"/>
    <w:p>
      <w:pPr>
        <w:pStyle w:val="Heading3"/>
      </w:pPr>
      <w:r>
        <w:t xml:space="preserve">5.8. Pre-specified confirmation, 2023-2025</w:t>
      </w:r>
    </w:p>
    <w:p>
      <w:pPr>
        <w:pStyle w:val="FirstParagraph"/>
      </w:pPr>
      <w:r>
        <w:t xml:space="preserve">Table 8 reports the confirmation period (84 high-risk windows in 540 country-months). The fallback rule deployed B0 in every year (2023: B0, 2024: B0, 2025: B0), so its cost equals that of B0, 53.7 per 100 forecasts against 77.8 for never alerting. The rule was conservative: ex post, XGBoost had the highest AP (0.437 against 0.383 for B0) and a lower cost (41.7), but the cost difference is not significant (-12.0 [-31.1, 2.4]). In the Core-9 countries the AP gain of XGBoost over B0 is 0.168 [0.063, 0.312], a clear gain that the rule could not capture because it monitored the macro EBM chosen on the development folds; in the six external economies B0 remains best (0.433 against 0.311). The macro EBM selected for the rule on the development folds reaches 0.301, below B0. The confirmation thus supports the conclusion that no learned model dominates persistence across samples and periods, and shows that a fallback rule protects against weak models at the price of missing gains of models it does not monitor; a rule that monitored several candidates would have been a reasonable alternative, but it was not pre-specified.</w:t>
      </w:r>
    </w:p>
    <w:p>
      <w:pPr>
        <w:pStyle w:val="BodyText"/>
      </w:pPr>
      <w:r>
        <w:rPr>
          <w:b/>
          <w:bCs/>
        </w:rPr>
        <w:t xml:space="preserve">Table 8. Pre-specified confirmation period, forecast origins 2023-2025 (macro and IQ features).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Note:</w:t>
      </w:r>
      <w:r>
        <w:t xml:space="preserve"> </w:t>
      </w:r>
      <w:r>
        <w:t xml:space="preserve">84 high-risk windows in 540 country-months (47 Core-9, 37 External-6). Pooled AP; cost per 100 forecasts at C_FN = 5; raw probabilities. Fallback deployments: 2023: B0, 2024: B0, 2025: B0. Protocol SHA-256: 910490582b8dc40cfef8880dfcbc67bfa0786ea3867fead9de8d8ccf3718f65d.</w:t>
      </w:r>
    </w:p>
    <w:bookmarkEnd w:id="57"/>
    <w:bookmarkEnd w:id="58"/>
    <w:bookmarkStart w:id="62" w:name="discussion"/>
    <w:p>
      <w:pPr>
        <w:pStyle w:val="Heading2"/>
      </w:pPr>
      <w:r>
        <w:t xml:space="preserve">6. Discussion</w:t>
      </w:r>
    </w:p>
    <w:bookmarkStart w:id="59" w:name="decision-rules"/>
    <w:p>
      <w:pPr>
        <w:pStyle w:val="Heading3"/>
      </w:pPr>
      <w:r>
        <w:t xml:space="preserve">6.1. Decision rules</w:t>
      </w:r>
    </w:p>
    <w:p>
      <w:pPr>
        <w:pStyle w:val="FirstParagraph"/>
      </w:pPr>
      <w:r>
        <w:t xml:space="preserve">Table 9 condenses the evidence into decision rules for teams that build early-warning systems from published economic evidence. The common thread is that the reference point for any learned model should be a persistence rule and a country-identity model, evaluated with the information that was actually available, with costs and calibration in view. Under these conditions an institution-conditioned interaction that is significant in sample adds nothing, and the gains of flexible learners are real in some periods but not stable enough to deploy without a monitored fallback. This answers RQ3.</w:t>
      </w:r>
    </w:p>
    <w:p>
      <w:pPr>
        <w:pStyle w:val="BodyText"/>
      </w:pPr>
      <w:r>
        <w:rPr>
          <w:b/>
          <w:bCs/>
        </w:rPr>
        <w:t xml:space="preserve">Table 9. Decision rules derived from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Rule</w:t>
            </w:r>
          </w:p>
        </w:tc>
        <w:tc>
          <w:tcPr/>
          <w:p>
            <w:pPr>
              <w:pStyle w:val="Compact"/>
            </w:pPr>
            <w:r>
              <w:t xml:space="preserve">Evidence</w:t>
            </w:r>
          </w:p>
        </w:tc>
      </w:tr>
      <w:tr>
        <w:tc>
          <w:tcPr/>
          <w:p>
            <w:pPr>
              <w:pStyle w:val="Compact"/>
            </w:pPr>
            <w:r>
              <w:t xml:space="preserve">Feature set</w:t>
            </w:r>
          </w:p>
        </w:tc>
        <w:tc>
          <w:tcPr/>
          <w:p>
            <w:pPr>
              <w:pStyle w:val="Compact"/>
            </w:pPr>
            <w:r>
              <w:t xml:space="preserve">Use macro-financial (and optionally IQ) features; do not add the CI level</w:t>
            </w:r>
          </w:p>
        </w:tc>
        <w:tc>
          <w:tcPr/>
          <w:p>
            <w:pPr>
              <w:pStyle w:val="Compact"/>
            </w:pPr>
            <w:r>
              <w:t xml:space="preserve">Adding CI lowered AP in 6 of 6 cells; no addition gained 0.02 AP</w:t>
            </w:r>
          </w:p>
        </w:tc>
      </w:tr>
      <w:tr>
        <w:tc>
          <w:tcPr/>
          <w:p>
            <w:pPr>
              <w:pStyle w:val="Compact"/>
            </w:pPr>
            <w:r>
              <w:t xml:space="preserve">Interaction</w:t>
            </w:r>
          </w:p>
        </w:tc>
        <w:tc>
          <w:tcPr/>
          <w:p>
            <w:pPr>
              <w:pStyle w:val="Compact"/>
            </w:pPr>
            <w:r>
              <w:t xml:space="preserve">Do not hard-code the CI x IQ interaction</w:t>
            </w:r>
          </w:p>
        </w:tc>
        <w:tc>
          <w:tcPr/>
          <w:p>
            <w:pPr>
              <w:pStyle w:val="Compact"/>
            </w:pPr>
            <w:r>
              <w:t xml:space="preserve">M1 - M0: -0.006 [-0.026, 0.011]; equivalent within +/-0.02 in 2021-2022</w:t>
            </w:r>
          </w:p>
        </w:tc>
      </w:tr>
      <w:tr>
        <w:tc>
          <w:tcPr/>
          <w:p>
            <w:pPr>
              <w:pStyle w:val="Compact"/>
            </w:pPr>
            <w:r>
              <w:t xml:space="preserve">Benchmarks</w:t>
            </w:r>
          </w:p>
        </w:tc>
        <w:tc>
          <w:tcPr/>
          <w:p>
            <w:pPr>
              <w:pStyle w:val="Compact"/>
            </w:pPr>
            <w:r>
              <w:t xml:space="preserve">Always report persistence (B0) and country identity plus persistence (C1)</w:t>
            </w:r>
          </w:p>
        </w:tc>
        <w:tc>
          <w:tcPr/>
          <w:p>
            <w:pPr>
              <w:pStyle w:val="Compact"/>
            </w:pPr>
            <w:r>
              <w:t xml:space="preserve">Retrospective AP: B0 0.535, C1 0.574, best learned 0.489</w:t>
            </w:r>
          </w:p>
        </w:tc>
      </w:tr>
      <w:tr>
        <w:tc>
          <w:tcPr/>
          <w:p>
            <w:pPr>
              <w:pStyle w:val="Compact"/>
            </w:pPr>
            <w:r>
              <w:t xml:space="preserve">Timing</w:t>
            </w:r>
          </w:p>
        </w:tc>
        <w:tc>
          <w:tcPr/>
          <w:p>
            <w:pPr>
              <w:pStyle w:val="Compact"/>
            </w:pPr>
            <w:r>
              <w:t xml:space="preserve">Lag REER and other monthly inputs to their release; test release-lag sensitivity</w:t>
            </w:r>
          </w:p>
        </w:tc>
        <w:tc>
          <w:tcPr/>
          <w:p>
            <w:pPr>
              <w:pStyle w:val="Compact"/>
            </w:pPr>
            <w:r>
              <w:t xml:space="preserve">Month-t REER raises M1 AP from 0.381 to 0.474</w:t>
            </w:r>
          </w:p>
        </w:tc>
      </w:tr>
      <w:tr>
        <w:tc>
          <w:tcPr/>
          <w:p>
            <w:pPr>
              <w:pStyle w:val="Compact"/>
            </w:pPr>
            <w:r>
              <w:t xml:space="preserve">Calibration</w:t>
            </w:r>
          </w:p>
        </w:tc>
        <w:tc>
          <w:tcPr/>
          <w:p>
            <w:pPr>
              <w:pStyle w:val="Compact"/>
            </w:pPr>
            <w:r>
              <w:t xml:space="preserve">Prefer raw or expanding-window calibration; avoid short windows</w:t>
            </w:r>
          </w:p>
        </w:tc>
        <w:tc>
          <w:tcPr/>
          <w:p>
            <w:pPr>
              <w:pStyle w:val="Compact"/>
            </w:pPr>
            <w:r>
              <w:t xml:space="preserve">Eight-month Platt worsened Brier for 7 of 7 models</w:t>
            </w:r>
          </w:p>
        </w:tc>
      </w:tr>
      <w:tr>
        <w:tc>
          <w:tcPr/>
          <w:p>
            <w:pPr>
              <w:pStyle w:val="Compact"/>
            </w:pPr>
            <w:r>
              <w:t xml:space="preserve">Analyst review</w:t>
            </w:r>
          </w:p>
        </w:tc>
        <w:tc>
          <w:tcPr/>
          <w:p>
            <w:pPr>
              <w:pStyle w:val="Compact"/>
            </w:pPr>
            <w:r>
              <w:t xml:space="preserve">Route least-confident cases first</w:t>
            </w:r>
          </w:p>
        </w:tc>
        <w:tc>
          <w:tcPr/>
          <w:p>
            <w:pPr>
              <w:pStyle w:val="Compact"/>
            </w:pPr>
            <w:r>
              <w:t xml:space="preserve">vs random routing: -7.8 [-16.5, -0.3] per 100</w:t>
            </w:r>
          </w:p>
        </w:tc>
      </w:tr>
      <w:tr>
        <w:tc>
          <w:tcPr/>
          <w:p>
            <w:pPr>
              <w:pStyle w:val="Compact"/>
            </w:pPr>
            <w:r>
              <w:t xml:space="preserve">Deployment</w:t>
            </w:r>
          </w:p>
        </w:tc>
        <w:tc>
          <w:tcPr/>
          <w:p>
            <w:pPr>
              <w:pStyle w:val="Compact"/>
            </w:pPr>
            <w:r>
              <w:t xml:space="preserve">Deploy a learned model only if it beats B0 by delta on recent matured data and is calibrated; else B0</w:t>
            </w:r>
          </w:p>
        </w:tc>
        <w:tc>
          <w:tcPr/>
          <w:p>
            <w:pPr>
              <w:pStyle w:val="Compact"/>
            </w:pPr>
            <w:r>
              <w:t xml:space="preserve">2023-2025: rule kept B0 (53.7 vs 77.8 never-alert); XGBoost cost 41.7 (n.s.), Core-9 AP gain 0.168 [0.063, 0.312]</w:t>
            </w:r>
          </w:p>
        </w:tc>
      </w:tr>
    </w:tbl>
    <w:p>
      <w:pPr>
        <w:pStyle w:val="BodyText"/>
      </w:pPr>
      <w:r>
        <w:rPr>
          <w:i/>
          <w:iCs/>
        </w:rPr>
        <w:t xml:space="preserve">Note:</w:t>
      </w:r>
      <w:r>
        <w:t xml:space="preserve"> </w:t>
      </w:r>
      <w:r>
        <w:t xml:space="preserve">Numbers are pooled over six folds unless stated; intervals are 95% paired block-bootstrap intervals.</w:t>
      </w:r>
    </w:p>
    <w:bookmarkEnd w:id="59"/>
    <w:bookmarkStart w:id="60" w:name="X799359bbd5ba049f9db980b3ad57ba94827667f"/>
    <w:p>
      <w:pPr>
        <w:pStyle w:val="Heading3"/>
      </w:pPr>
      <w:r>
        <w:t xml:space="preserve">6.2. Implications for expert and decision-support systems</w:t>
      </w:r>
    </w:p>
    <w:p>
      <w:pPr>
        <w:pStyle w:val="FirstParagraph"/>
      </w:pPr>
      <w:r>
        <w:t xml:space="preserve">First, in-sample mechanism evidence and forecast value are different objects; variable selection for an early-warning system should be validated in a forecasting design. Second, timing errors are a larger threat than model choice: a one-month misalignment of the REER inflated EBM skill by more than any feature set changed it. Third, the decision layer deserves as much attention as the learner. Short-window recalibration made probabilities worse, review helped both automated policies tested, and a simple fallback rule avoided the poorly performing models in 2023-2025. Fourth, a replication audit with recorded checksums, a scored specification search and an automated consistency check turned a set of significant results into a calibrated statement of what the evidence supports.</w:t>
      </w:r>
    </w:p>
    <w:bookmarkEnd w:id="60"/>
    <w:bookmarkStart w:id="61" w:name="limitations"/>
    <w:p>
      <w:pPr>
        <w:pStyle w:val="Heading3"/>
      </w:pPr>
      <w:r>
        <w:t xml:space="preserve">6.3. Limitations</w:t>
      </w:r>
    </w:p>
    <w:p>
      <w:pPr>
        <w:pStyle w:val="FirstParagraph"/>
      </w:pPr>
      <w:r>
        <w:t xml:space="preserve">The panels are small: nine countries and eleven years in the main evaluation, with 31 overlapping episodes, so AP estimates are noisy and intervals wide; the 24-month intervals in particular rest on few independent blocks. The 2021-2022 folds had been examined while the study was designed and are therefore retrospective, which is why we add the confirmation period; the confirmation itself covers only three years and cannot test CI. The WGI are used in their current vintage. The construction of the Wind CI series could not be re-verified, and the lag sensitivity only bounds its timing. The dynamic threshold regressions with fixed effects are subject to Nickell bias (Nickell, 1981); we keep the original specification for replication. The review experiment uses stylised costs and reviewer accuracies.</w:t>
      </w:r>
    </w:p>
    <w:bookmarkEnd w:id="61"/>
    <w:bookmarkEnd w:id="62"/>
    <w:bookmarkStart w:id="63" w:name="conclusion"/>
    <w:p>
      <w:pPr>
        <w:pStyle w:val="Heading2"/>
      </w:pPr>
      <w:r>
        <w:t xml:space="preserve">7. Conclusion</w:t>
      </w:r>
    </w:p>
    <w:p>
      <w:pPr>
        <w:pStyle w:val="FirstParagraph"/>
      </w:pPr>
      <w:r>
        <w:t xml:space="preserve">We traced an institution-conditioned currency-internationalization hypothesis from reported threshold estimates to an operational early-warning task. The reported tests are reproducible but fragile, and the information they encode does not improve the out-of-sample detection of exchange-rate stress once publication lags, persistence and country identity are taken into account. A pre-specified confirmation period supports this conclusion for the institutional variables, while showing that flexible learners can beat persistence in some samples, which is why a monitored fallback rule is preferable to a fixed model choice. The framework, including its decision rules and consistency audit, can be reused to vet other regression-derived early-warning variables before deployment.</w:t>
      </w:r>
    </w:p>
    <w:bookmarkEnd w:id="63"/>
    <w:bookmarkStart w:id="64" w:name="data-availability"/>
    <w:p>
      <w:pPr>
        <w:pStyle w:val="Heading2"/>
      </w:pPr>
      <w:r>
        <w:t xml:space="preserve">Data availability</w:t>
      </w:r>
    </w:p>
    <w:p>
      <w:pPr>
        <w:pStyle w:val="FirstParagraph"/>
      </w:pPr>
      <w:r>
        <w:t xml:space="preserve">BIS, IMF and World Bank data are public; the Wind-based regression datasets (compiled on 13 June 2023) are licensed and cannot be redistributed, but their variables are documented in Supplementary Table S15 and their SHA-256 checksums are included in the replication package. Code, split definitions, the confirmation protocol and all row-level predictions are provided in the replication package [repository link withheld for double-anonymous review].</w:t>
      </w:r>
    </w:p>
    <w:bookmarkEnd w:id="64"/>
    <w:bookmarkStart w:id="65"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2026-10-20T04:03:22Z</dcterms:created>
  <dcterms:modified xsi:type="dcterms:W3CDTF">2026-10-20T04:03:22Z</dcterms:modified>
</cp:coreProperties>
</file>

<file path=docProps/custom.xml><?xml version="1.0" encoding="utf-8"?>
<Properties xmlns="http://schemas.openxmlformats.org/officeDocument/2006/custom-properties" xmlns:vt="http://schemas.openxmlformats.org/officeDocument/2006/docPropsVTypes"/>
</file>