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ighlights"/>
    <w:p>
      <w:pPr>
        <w:pStyle w:val="Heading1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Reported panel threshold F statistics are reproduced exactly from the original data</w:t>
      </w:r>
    </w:p>
    <w:p>
      <w:pPr>
        <w:pStyle w:val="Compact"/>
        <w:numPr>
          <w:ilvl w:val="0"/>
          <w:numId w:val="1001"/>
        </w:numPr>
      </w:pPr>
      <w:r>
        <w:t xml:space="preserve">Threshold effects weaken under standard trimming and publication lags</w:t>
      </w:r>
    </w:p>
    <w:p>
      <w:pPr>
        <w:pStyle w:val="Compact"/>
        <w:numPr>
          <w:ilvl w:val="0"/>
          <w:numId w:val="1001"/>
        </w:numPr>
      </w:pPr>
      <w:r>
        <w:t xml:space="preserve">Currency and institution features do not add detectable forecast value</w:t>
      </w:r>
    </w:p>
    <w:p>
      <w:pPr>
        <w:pStyle w:val="Compact"/>
        <w:numPr>
          <w:ilvl w:val="0"/>
          <w:numId w:val="1001"/>
        </w:numPr>
      </w:pPr>
      <w:r>
        <w:t xml:space="preserve">No learned model beats a persistence rule by a meaningful margin</w:t>
      </w:r>
    </w:p>
    <w:p>
      <w:pPr>
        <w:pStyle w:val="Compact"/>
        <w:numPr>
          <w:ilvl w:val="0"/>
          <w:numId w:val="1001"/>
        </w:numPr>
      </w:pPr>
      <w:r>
        <w:t xml:space="preserve">A pre-specified fallback rule is tested on 2023-2025 data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2026-10-20T04:03:23Z</dcterms:created>
  <dcterms:modified xsi:type="dcterms:W3CDTF">2026-10-20T04:03:23Z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