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A reproducibility audit connects threshold evidence with stress prediction</w:t>
      </w:r>
    </w:p>
    <w:p>
      <w:pPr>
        <w:pStyle w:val="Compact"/>
        <w:numPr>
          <w:ilvl w:val="0"/>
          <w:numId w:val="1001"/>
        </w:numPr>
      </w:pPr>
      <w:r>
        <w:t xml:space="preserve">Only one of 18 CI or IQ additions reaches a 0.02 gain in average precision</w:t>
      </w:r>
    </w:p>
    <w:p>
      <w:pPr>
        <w:pStyle w:val="Compact"/>
        <w:numPr>
          <w:ilvl w:val="0"/>
          <w:numId w:val="1001"/>
        </w:numPr>
      </w:pPr>
      <w:r>
        <w:t xml:space="preserve">Model rankings change across periods, countries and stress definitions</w:t>
      </w:r>
    </w:p>
    <w:p>
      <w:pPr>
        <w:pStyle w:val="Compact"/>
        <w:numPr>
          <w:ilvl w:val="0"/>
          <w:numId w:val="1001"/>
        </w:numPr>
      </w:pPr>
      <w:r>
        <w:t xml:space="preserve">Simulated review gains depend on reviewer errors, fees and the comparison policy</w:t>
      </w:r>
    </w:p>
    <w:p>
      <w:pPr>
        <w:pStyle w:val="Compact"/>
        <w:numPr>
          <w:ilvl w:val="0"/>
          <w:numId w:val="1001"/>
        </w:numPr>
      </w:pPr>
      <w:r>
        <w:t xml:space="preserve">A refitted fallback keeps persistence and misses XGBoost gains in core economies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2026-10-20T12:53:36Z</dcterms:created>
  <dcterms:modified xsi:type="dcterms:W3CDTF">2026-10-20T12:53:36Z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