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Currency internationalization and governance are tested as FX stress indicators</w:t>
      </w:r>
    </w:p>
    <w:p>
      <w:pPr>
        <w:pStyle w:val="Compact"/>
        <w:numPr>
          <w:ilvl w:val="0"/>
          <w:numId w:val="1001"/>
        </w:numPr>
      </w:pPr>
      <w:r>
        <w:t xml:space="preserve">Internationalization adds no detectable warning value beyond macro indicators</w:t>
      </w:r>
    </w:p>
    <w:p>
      <w:pPr>
        <w:pStyle w:val="Compact"/>
        <w:numPr>
          <w:ilvl w:val="0"/>
          <w:numId w:val="1001"/>
        </w:numPr>
      </w:pPr>
      <w:r>
        <w:t xml:space="preserve">Its signal mainly separates countries rather than timing stress episodes</w:t>
      </w:r>
    </w:p>
    <w:p>
      <w:pPr>
        <w:pStyle w:val="Compact"/>
        <w:numPr>
          <w:ilvl w:val="0"/>
          <w:numId w:val="1001"/>
        </w:numPr>
      </w:pPr>
      <w:r>
        <w:t xml:space="preserve">Institutional quality: small, imprecise AP gains; lower expected cost in 2023-25</w:t>
      </w:r>
    </w:p>
    <w:p>
      <w:pPr>
        <w:pStyle w:val="Compact"/>
        <w:numPr>
          <w:ilvl w:val="0"/>
          <w:numId w:val="1001"/>
        </w:numPr>
      </w:pPr>
      <w:r>
        <w:t xml:space="preserve">Persistence and country risk levels should anchor exchange-rate warning systems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2026-10-21T08:21:42Z</dcterms:created>
  <dcterms:modified xsi:type="dcterms:W3CDTF">2026-10-21T08:21:42Z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