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A reproducibility audit connects threshold evidence with stress prediction</w:t>
      </w:r>
    </w:p>
    <w:p>
      <w:pPr>
        <w:pStyle w:val="Compact"/>
        <w:numPr>
          <w:ilvl w:val="0"/>
          <w:numId w:val="1001"/>
        </w:numPr>
      </w:pPr>
      <w:r>
        <w:t xml:space="preserve">No FX-share ablation reaches a 0.02 gain in average precision</w:t>
      </w:r>
    </w:p>
    <w:p>
      <w:pPr>
        <w:pStyle w:val="Compact"/>
        <w:numPr>
          <w:ilvl w:val="0"/>
          <w:numId w:val="1001"/>
        </w:numPr>
      </w:pPr>
      <w:r>
        <w:t xml:space="preserve">Model rankings change across periods, countries and stress definitions</w:t>
      </w:r>
    </w:p>
    <w:p>
      <w:pPr>
        <w:pStyle w:val="Compact"/>
        <w:numPr>
          <w:ilvl w:val="0"/>
          <w:numId w:val="1001"/>
        </w:numPr>
      </w:pPr>
      <w:r>
        <w:t xml:space="preserve">Simulated review gains depend on accuracy, costs and the comparison policy</w:t>
      </w:r>
    </w:p>
    <w:p>
      <w:pPr>
        <w:pStyle w:val="Compact"/>
        <w:numPr>
          <w:ilvl w:val="0"/>
          <w:numId w:val="1001"/>
        </w:numPr>
      </w:pPr>
      <w:r>
        <w:t xml:space="preserve">A frozen fallback misses gains from an unmonitored model in the core sample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2026-10-20T05:28:13Z</dcterms:created>
  <dcterms:modified xsi:type="dcterms:W3CDTF">2026-10-20T05:28:13Z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