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1821fea46f14a0f7dcd3fa2380943e138b1f65e"/>
    <w:p>
      <w:pPr>
        <w:pStyle w:val="Heading1"/>
      </w:pPr>
      <w:r>
        <w:t xml:space="preserve">Do institutional thresholds improve exchange-rate stress early warning? An auditable replication-to-prediction evaluation</w:t>
      </w:r>
    </w:p>
    <w:p>
      <w:pPr>
        <w:pStyle w:val="FirstParagraph"/>
      </w:pPr>
      <w:r>
        <w:rPr>
          <w:b/>
          <w:bCs/>
        </w:rPr>
        <w:t xml:space="preserve">Renda Shi</w:t>
      </w:r>
      <w:r>
        <w:rPr>
          <w:vertAlign w:val="superscript"/>
        </w:rPr>
        <w:t xml:space="preserve">a,*</w:t>
      </w:r>
      <w:r>
        <w:t xml:space="preserve"> </w:t>
      </w:r>
      <w:r>
        <w:t xml:space="preserve">and</w:t>
      </w:r>
      <w:r>
        <w:t xml:space="preserve"> </w:t>
      </w:r>
      <w:r>
        <w:rPr>
          <w:b/>
          <w:bCs/>
        </w:rPr>
        <w:t xml:space="preserve">Mengxia Xu</w:t>
      </w:r>
      <w:r>
        <w:rPr>
          <w:vertAlign w:val="superscript"/>
        </w:rPr>
        <w:t xml:space="preserve">b</w:t>
      </w:r>
    </w:p>
    <w:p>
      <w:pPr>
        <w:pStyle w:val="BodyText"/>
      </w:pPr>
      <w:r>
        <w:rPr>
          <w:vertAlign w:val="superscript"/>
        </w:rPr>
        <w:t xml:space="preserve">a</w:t>
      </w:r>
      <w:r>
        <w:t xml:space="preserve"> </w:t>
      </w:r>
      <w:r>
        <w:t xml:space="preserve">School of Management and Economics, The Chinese University of Hong Kong, Shenzhen, Shenzhen, China</w:t>
      </w:r>
      <w:r>
        <w:br/>
      </w:r>
      <w:r>
        <w:rPr>
          <w:vertAlign w:val="superscript"/>
        </w:rPr>
        <w:t xml:space="preserve">b</w:t>
      </w:r>
      <w:r>
        <w:t xml:space="preserve"> </w:t>
      </w:r>
      <w:r>
        <w:t xml:space="preserve">Shanghai Advanced Institute of Finance, Shanghai Jiao Tong University, Shanghai, China</w:t>
      </w:r>
    </w:p>
    <w:p>
      <w:pPr>
        <w:pStyle w:val="BodyText"/>
      </w:pPr>
      <w:r>
        <w:t xml:space="preserve">* Corresponding author: Renda Shi, renshi@cuhk.edu.cn</w:t>
      </w:r>
    </w:p>
    <w:p>
      <w:pPr>
        <w:pStyle w:val="BodyText"/>
      </w:pPr>
      <w:r>
        <w:t xml:space="preserve">E-mail addresses: renshi@cuhk.edu.cn (R. Shi), mxxu.21@saif.sjtu.edu.cn (M. Xu)</w:t>
      </w:r>
    </w:p>
    <w:bookmarkStart w:id="9" w:name="declarations"/>
    <w:p>
      <w:pPr>
        <w:pStyle w:val="Heading2"/>
      </w:pPr>
      <w:r>
        <w:t xml:space="preserve">Declarations</w:t>
      </w:r>
    </w:p>
    <w:p>
      <w:pPr>
        <w:pStyle w:val="FirstParagraph"/>
      </w:pPr>
      <w:r>
        <w:rPr>
          <w:b/>
          <w:bCs/>
        </w:rPr>
        <w:t xml:space="preserve">CRediT authorship contribution statement.</w:t>
      </w:r>
      <w:r>
        <w:t xml:space="preserve"> </w:t>
      </w:r>
      <w:r>
        <w:t xml:space="preserve">[To be completed by the authors.]</w:t>
      </w:r>
    </w:p>
    <w:p>
      <w:pPr>
        <w:pStyle w:val="BodyText"/>
      </w:pPr>
      <w:r>
        <w:rPr>
          <w:b/>
          <w:bCs/>
        </w:rPr>
        <w:t xml:space="preserve">Declaration of competing interest.</w:t>
      </w:r>
      <w:r>
        <w:t xml:space="preserve"> </w:t>
      </w:r>
      <w:r>
        <w:t xml:space="preserve">[To be completed and confirmed by the authors.]</w:t>
      </w:r>
    </w:p>
    <w:p>
      <w:pPr>
        <w:pStyle w:val="BodyText"/>
      </w:pPr>
      <w:r>
        <w:rPr>
          <w:b/>
          <w:bCs/>
        </w:rPr>
        <w:t xml:space="preserve">Funding.</w:t>
      </w:r>
      <w:r>
        <w:t xml:space="preserve"> </w:t>
      </w:r>
      <w:r>
        <w:t xml:space="preserve">[To be completed by the authors.]</w:t>
      </w:r>
    </w:p>
    <w:p>
      <w:pPr>
        <w:pStyle w:val="BodyText"/>
      </w:pPr>
      <w:r>
        <w:rPr>
          <w:b/>
          <w:bCs/>
        </w:rPr>
        <w:t xml:space="preserve">Acknowledgements.</w:t>
      </w:r>
      <w:r>
        <w:t xml:space="preserve"> </w:t>
      </w:r>
      <w:r>
        <w:t xml:space="preserve">[To be completed by the authors.]</w:t>
      </w:r>
    </w:p>
    <w:p>
      <w:pPr>
        <w:pStyle w:val="BodyText"/>
      </w:pPr>
      <w:r>
        <w:rPr>
          <w:b/>
          <w:bCs/>
        </w:rPr>
        <w:t xml:space="preserve">Data availability.</w:t>
      </w:r>
      <w:r>
        <w:t xml:space="preserve"> </w:t>
      </w:r>
      <w:r>
        <w:t xml:space="preserve">BIS, IMF and World Bank data are public. The CI series and macro controls of the original working paper were exported from the Wind Economic Database and compiled into the regression datasets on 13 June 2023 (variables documented by column name in Supplementary Table S15; the original Wind series codes were not retained); Wind data are licensed and cannot be redistributed. Code, split definitions, the frozen confirmation protocol and all row-level predictions are available at https://github.com/reneverland/MacroRisk.</w:t>
      </w:r>
    </w:p>
    <w:p>
      <w:pPr>
        <w:pStyle w:val="BodyText"/>
      </w:pPr>
      <w:r>
        <w:rPr>
          <w:b/>
          <w:bCs/>
        </w:rPr>
        <w:t xml:space="preserve">Original study.</w:t>
      </w:r>
      <w:r>
        <w:t xml:space="preserve"> </w:t>
      </w:r>
      <w:r>
        <w:t xml:space="preserve">The threshold estimates replicated in this paper come from an earlier working paper involving the second author,</w:t>
      </w:r>
      <w:r>
        <w:t xml:space="preserve"> </w:t>
      </w:r>
      <w:r>
        <w:t xml:space="preserve">‘Does Currency Internationalization increase Macro Risk in Emerging Markets? Nonlinear Evidence from Institutional Quality’</w:t>
      </w:r>
      <w:r>
        <w:t xml:space="preserve"> </w:t>
      </w:r>
      <w:r>
        <w:t xml:space="preserve">(drafts dated November 2023 to July 2025), which was neither submitted nor published.</w:t>
      </w:r>
    </w:p>
    <w:p>
      <w:pPr>
        <w:pStyle w:val="BodyText"/>
      </w:pPr>
      <w:r>
        <w:rPr>
          <w:b/>
          <w:bCs/>
        </w:rPr>
        <w:t xml:space="preserve">Declaration of generative AI and AI-assisted technologies in the writing process.</w:t>
      </w:r>
      <w:r>
        <w:t xml:space="preserve"> </w:t>
      </w:r>
      <w:r>
        <w:t xml:space="preserve">[Draft for the authors to confirm or edit:] During the preparation of this work the authors used an AI coding and writing assistant to write and audit analysis scripts, run consistency checks and draft and revise parts of the text. After using this tool, the authors reviewed and edited the content as needed and take full responsibility for the content of the publication.</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2026-10-20T05:28:13Z</dcterms:created>
  <dcterms:modified xsi:type="dcterms:W3CDTF">2026-10-20T05:28:13Z</dcterms:modified>
</cp:coreProperties>
</file>

<file path=docProps/custom.xml><?xml version="1.0" encoding="utf-8"?>
<Properties xmlns="http://schemas.openxmlformats.org/officeDocument/2006/custom-properties" xmlns:vt="http://schemas.openxmlformats.org/officeDocument/2006/docPropsVTypes"/>
</file>