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2"/>
        </w:rPr>
        <w:t>Integrating Jurisdictions, Dividing Workers: Consolidation, Labor Markets, and the Migrant-Local Wage Gap in China</w:t>
      </w:r>
    </w:p>
    <w:p>
      <w:r>
        <w:t>____________________________________________________________</w:t>
      </w:r>
    </w:p>
    <w:p>
      <w:pPr>
        <w:spacing w:line="360" w:lineRule="auto" w:after="120"/>
      </w:pPr>
      <w:r>
        <w:t>市县合并改革提升了地方经济，居民工资增长10.4%，外来工人仅增3.1%。改善交通和税收执行，但加剧了工资差距。行政合并虽能促进经济，但需确保包容性增长。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