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研究分析了中国在2011到2018年间实施的“撤县设区”合并改革对劳动市场的影响。此期间，中国有142个县在98个地级市中进行了合并。研究使用中国流动人口动态监测调查的个体数据，采用交错的双重差分方法进行分析。</w:t>
      </w:r>
    </w:p>
    <w:p>
      <w:pPr>
        <w:spacing w:line="360" w:lineRule="auto" w:after="120"/>
      </w:pPr>
      <w:r>
        <w:t>核心发现显示，市县合并显著提高了本地居民的平均工资，增幅达到10.4%，而外来务工人员的工资仅增加了3.1%。这一差异表明，经济利益并未在不同群体间均匀分布，政策反而扩大了本地居民和外来务工人员之间的工资差距。</w:t>
      </w:r>
    </w:p>
    <w:p>
      <w:pPr>
        <w:spacing w:line="360" w:lineRule="auto" w:after="120"/>
      </w:pPr>
      <w:r>
        <w:t>改革的机制主要包括改善合并管辖区内的连通性、提高税收执行效率以及扩大获取地方服务的途径。此外，改革将城市规划、土地供应和基础设施的控制权从县级转移到地级政府，促进了建筑、基础设施和公共服务领域的经济增长。然而，私营服务等高移民集中区的收益相对较少。</w:t>
      </w:r>
    </w:p>
    <w:p>
      <w:pPr>
        <w:spacing w:line="360" w:lineRule="auto" w:after="120"/>
      </w:pPr>
      <w:r>
        <w:t>研究表明，打破行政壁垒和整合治理可以带来实际的经济利益，但政府需要确保增长更具包容性，使新的投资和就业机会对所有人开放，包括对城市经济至关重要的流动人口。若不加以设计，增长导向的改革可能无意中加剧不平等，偏向某些劳动力群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