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sz w:val="32"/>
        </w:rPr>
        <w:t>整合管辖区，分割工人：中国的市县合并、劳动力市场与移民-本地工资差距</w:t>
      </w:r>
    </w:p>
    <w:p>
      <w:r>
        <w:t>____________________________________________________________</w:t>
      </w:r>
    </w:p>
    <w:p>
      <w:pPr>
        <w:spacing w:line="360" w:lineRule="auto" w:after="120"/>
      </w:pPr>
      <w:r>
        <w:t>本文由博诗宇和王怡撰写，研究了中国市县合并对地方劳动力市场的影响。通过使用中国流动人口动态调查的个体数据和分阶段差异中差异的方法，发现改革通过强化地方经济和改善治理提升了工资水平。在合并的管辖区，交通连接改善、税收执法更有效、当地服务的可及性增加，反映出真正的行政整合。然而，劳动力市场的收益并不均匀，本地居民的收益显著高于移民，揭示了政治整合如何促进增长但改变了工人之间的分配。</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