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中国政策与经济的三重探索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今天，我们将从三个维度来探讨中国的政策与经济发展：创新引领、资源协调、风险管控。</w:t>
      </w:r>
    </w:p>
    <w:p>
      <w:pPr>
        <w:pStyle w:val="Heading2"/>
      </w:pPr>
      <w:r>
        <w:rPr>
          <w:b/>
          <w:color w:val="336699"/>
          <w:sz w:val="28"/>
        </w:rPr>
        <w:t>创新引领：</w:t>
      </w:r>
    </w:p>
    <w:p>
      <w:pPr>
        <w:spacing w:line="360" w:lineRule="auto" w:after="120"/>
        <w:ind w:firstLine="360"/>
      </w:pPr>
      <w:r>
        <w:t>中国的工业政策在实施上存在区域不均衡，地方政府在政策制定中扮演着积极角色。研究分析了大量工业政策文件，发现25%的政府政策文本属于工业政策，主要集中在制造业和生产相关服务。56%的政策明确旨在促进战略行业发展。</w:t>
      </w:r>
    </w:p>
    <w:p>
      <w:pPr>
        <w:spacing w:line="360" w:lineRule="auto" w:after="120"/>
        <w:ind w:firstLine="360"/>
      </w:pPr>
      <w:r>
        <w:t>财政补贴是最常用的政策工具，出现在41%的政策中，尽管超过一半的政策并未使用财政补贴。地方政府更倾向于直接支持企业，而中央政府则注重战略性和监管角色。这种差异性影响了政策的有效性和实施效果。</w:t>
      </w:r>
    </w:p>
    <w:p>
      <w:pPr>
        <w:spacing w:line="360" w:lineRule="auto" w:after="120"/>
        <w:ind w:firstLine="360"/>
      </w:pPr>
      <w:r>
        <w:t>政策工具会随着目标行业的成熟度而演变，早期使用降低进入壁垒的工具，后期则转向研发和技能发展。但政策模仿可能导致地方保护主义和政策效果下降，因此强调根据地方条件进行适应性调整非常重要。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中国工业政策的区域不均衡及财政补贴使用情况</w:t>
      </w:r>
    </w:p>
    <w:p>
      <w:pPr>
        <w:pStyle w:val="Heading2"/>
      </w:pPr>
      <w:r>
        <w:rPr>
          <w:b/>
          <w:color w:val="336699"/>
          <w:sz w:val="28"/>
        </w:rPr>
        <w:t>资源协调：</w:t>
      </w:r>
    </w:p>
    <w:p>
      <w:pPr>
        <w:spacing w:line="360" w:lineRule="auto" w:after="120"/>
        <w:ind w:firstLine="360"/>
      </w:pPr>
      <w:r>
        <w:t>转向农村电商综合示范项目，这一政策显著减少了城乡收入差距，尤其在欠发达地区和贫困县。研究显示，从2014年到2022年，农村在线销售增长超过11倍，农村家庭收入平均增加约1.3%，而城市收入几乎没有变化。</w:t>
      </w:r>
    </w:p>
    <w:p>
      <w:pPr>
        <w:spacing w:line="360" w:lineRule="auto" w:after="120"/>
        <w:ind w:firstLine="360"/>
      </w:pPr>
      <w:r>
        <w:t>参与RECD项目的县，农村收入与城市收入的比率平均减少了0.079。在湖南省江永县，农民通过电商销售特产，实现销售额超过2.3亿元。此外，该项目还创造了超过3,000个直接就业机会，提升了农村就业率2.2%。</w:t>
      </w:r>
    </w:p>
    <w:p>
      <w:pPr>
        <w:spacing w:line="360" w:lineRule="auto" w:after="120"/>
        <w:ind w:firstLine="360"/>
      </w:pPr>
      <w:r>
        <w:t>成功的政策设计需要整合基础设施投资与信息培训，以支持农村电商的可持续发展。这种资源的协调不仅提升了农村经济，也缩小了城乡差距。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RECD项目对城乡收入差距的影响</w:t>
      </w:r>
    </w:p>
    <w:p>
      <w:pPr>
        <w:pStyle w:val="Heading2"/>
      </w:pPr>
      <w:r>
        <w:rPr>
          <w:b/>
          <w:color w:val="336699"/>
          <w:sz w:val="28"/>
        </w:rPr>
        <w:t>风险管控：</w:t>
      </w:r>
    </w:p>
    <w:p>
      <w:pPr>
        <w:spacing w:line="360" w:lineRule="auto" w:after="120"/>
        <w:ind w:firstLine="360"/>
      </w:pPr>
      <w:r>
        <w:t>在货币政策方面，中国面临传导有效性与金融稳定之间的权衡。非国有银行在经济低迷时更依赖批发融资，这虽然提高了信贷传导，但也增加了脆弱性。数据显示，批发融资在2017年占许多非国有银行负债的20%以上。</w:t>
      </w:r>
    </w:p>
    <w:p>
      <w:pPr>
        <w:spacing w:line="360" w:lineRule="auto" w:after="120"/>
        <w:ind w:firstLine="360"/>
      </w:pPr>
      <w:r>
        <w:t>研究表明，政策利率每降低一个百分点，非国有银行的贷款资产比率就会增加约0.3-0.5个百分点。但对非国有银行的批发融资限制可以显著降低银行挤兑的概率，虽然这也可能减少货币政策的效果。</w:t>
      </w:r>
    </w:p>
    <w:p>
      <w:pPr>
        <w:spacing w:line="360" w:lineRule="auto" w:after="120"/>
        <w:ind w:firstLine="360"/>
      </w:pPr>
      <w:r>
        <w:t>2019年的几起救助案例突显了批发融资带来的系统性风险，显示出中国在政策实施中需要谨慎应对各种挑战，以确保金融稳定。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