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2"/>
        </w:rPr>
        <w:t>整合管辖区，分化工人：中国的城市-县合并、劳动市场与移民-本地工资差距</w:t>
      </w:r>
    </w:p>
    <w:p>
      <w:r>
        <w:t>____________________________________________________________</w:t>
      </w:r>
    </w:p>
    <w:p>
      <w:pPr>
        <w:spacing w:line="360" w:lineRule="auto" w:after="120"/>
      </w:pPr>
      <w:r>
        <w:t>本文由作者及其机构对中国城市-县合并的影响进行研究，使用中国迁移动态调查的个体数据以及阶梯差异中的差异方法，探讨这一改革如何重新塑造地方劳动市场。研究发现，合并提升了地方经济和治理，有效推动了工资增长，但收益分配不均。本地居民的工资增长显著高于移民工人，显示出政治整合促进经济增长的同时，也改变了不同工人之间的收益分配格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